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3F" w:rsidRPr="00021B3F" w:rsidRDefault="00AD19DA" w:rsidP="00021B3F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  <w:lang w:val="pt-PT"/>
        </w:rPr>
      </w:pPr>
      <w:r>
        <w:rPr>
          <w:noProof/>
          <w:sz w:val="48"/>
          <w:lang w:val="pt-PT"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B3F" w:rsidRPr="00021B3F">
        <w:rPr>
          <w:rFonts w:ascii="Impact" w:hAnsi="Impact"/>
          <w:b/>
          <w:bCs/>
          <w:sz w:val="48"/>
          <w:lang w:val="pt-PT"/>
        </w:rPr>
        <w:t xml:space="preserve"> </w:t>
      </w:r>
      <w:r w:rsidR="00021B3F" w:rsidRPr="00021B3F">
        <w:rPr>
          <w:rFonts w:ascii="Impact" w:hAnsi="Impact"/>
          <w:b/>
          <w:bCs/>
          <w:color w:val="FF0000"/>
          <w:sz w:val="28"/>
          <w:lang w:val="pt-PT"/>
        </w:rPr>
        <w:t>SOS</w:t>
      </w:r>
      <w:r w:rsidR="00021B3F" w:rsidRPr="00021B3F">
        <w:rPr>
          <w:rFonts w:ascii="Impact" w:hAnsi="Impact"/>
          <w:b/>
          <w:bCs/>
          <w:sz w:val="28"/>
          <w:lang w:val="pt-PT"/>
        </w:rPr>
        <w:t xml:space="preserve"> </w:t>
      </w:r>
      <w:r w:rsidR="00021B3F" w:rsidRPr="00021B3F">
        <w:rPr>
          <w:rFonts w:ascii="Impact" w:hAnsi="Impact"/>
          <w:b/>
          <w:bCs/>
          <w:color w:val="FFFFFF"/>
          <w:sz w:val="28"/>
          <w:shd w:val="clear" w:color="auto" w:fill="FF0000"/>
          <w:lang w:val="pt-PT"/>
        </w:rPr>
        <w:t>PRISÕES</w:t>
      </w:r>
    </w:p>
    <w:p w:rsidR="00021B3F" w:rsidRPr="00021B3F" w:rsidRDefault="00044144" w:rsidP="00021B3F">
      <w:pPr>
        <w:shd w:val="clear" w:color="auto" w:fill="FFFFFF"/>
        <w:rPr>
          <w:rFonts w:ascii="Impact" w:hAnsi="Impact"/>
          <w:b/>
          <w:bCs/>
          <w:color w:val="FFFFFF"/>
          <w:shd w:val="clear" w:color="auto" w:fill="FF0000"/>
          <w:lang w:val="pt-PT"/>
        </w:rPr>
      </w:pPr>
      <w:r w:rsidRPr="00044144">
        <w:rPr>
          <w:rFonts w:ascii="Times New Roman" w:hAnsi="Times New Roman"/>
          <w:noProof/>
          <w:sz w:val="20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45pt;margin-top:9.9pt;width:87.2pt;height:8.95pt;z-index:251661312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021B3F" w:rsidRPr="00021B3F" w:rsidRDefault="00044144" w:rsidP="00021B3F">
      <w:pPr>
        <w:shd w:val="clear" w:color="auto" w:fill="FFFFFF"/>
        <w:rPr>
          <w:rFonts w:ascii="Impact" w:hAnsi="Impact"/>
          <w:b/>
          <w:bCs/>
          <w:color w:val="000000"/>
          <w:shd w:val="clear" w:color="auto" w:fill="FF0000"/>
          <w:lang w:val="pt-PT"/>
        </w:rPr>
      </w:pPr>
      <w:r w:rsidRPr="00044144">
        <w:rPr>
          <w:rFonts w:ascii="Impact" w:hAnsi="Impact"/>
          <w:b/>
          <w:bCs/>
          <w:noProof/>
          <w:color w:val="000000"/>
          <w:sz w:val="20"/>
          <w:lang w:val="en-US"/>
        </w:rPr>
        <w:pict>
          <v:shape id="_x0000_s1027" type="#_x0000_t161" style="position:absolute;margin-left:45pt;margin-top:5.5pt;width:87.2pt;height:9.9pt;z-index:251662336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021B3F" w:rsidRPr="00021B3F" w:rsidRDefault="00021B3F" w:rsidP="00021B3F">
      <w:pPr>
        <w:jc w:val="both"/>
        <w:rPr>
          <w:b/>
          <w:bCs/>
          <w:lang w:val="pt-PT"/>
        </w:rPr>
      </w:pP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Provedor de Justiça; Ministro da Justiça; Conselho Superior de Magistratura; Conselho Superior do Ministério Público; </w:t>
      </w:r>
      <w:r w:rsidRPr="00021B3F">
        <w:rPr>
          <w:rFonts w:ascii="Arial" w:hAnsi="Arial" w:cs="Arial"/>
          <w:b/>
          <w:bCs/>
          <w:color w:val="222222"/>
          <w:sz w:val="20"/>
          <w:szCs w:val="20"/>
        </w:rPr>
        <w:t xml:space="preserve">Presidente da Comissão de Direitos Humanos da Ordem dos Advogados; Comissão Nacional para os Direitos Humanos; Comité de Prevenção da Tortura do Conselho da Europa;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State</w:t>
      </w:r>
      <w:proofErr w:type="spellEnd"/>
      <w:r w:rsidRPr="00981E6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Watch</w:t>
      </w:r>
      <w:proofErr w:type="spellEnd"/>
      <w:r w:rsidRPr="00021B3F">
        <w:rPr>
          <w:rFonts w:ascii="Arial" w:hAnsi="Arial" w:cs="Arial"/>
          <w:b/>
          <w:sz w:val="20"/>
          <w:szCs w:val="20"/>
        </w:rPr>
        <w:t xml:space="preserve">;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Fair</w:t>
      </w:r>
      <w:proofErr w:type="spellEnd"/>
      <w:r w:rsidRPr="00981E6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Trials</w:t>
      </w:r>
      <w:proofErr w:type="spellEnd"/>
      <w:r w:rsidRPr="00981E6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981E6C">
        <w:rPr>
          <w:rFonts w:ascii="Arial" w:hAnsi="Arial" w:cs="Arial"/>
          <w:b/>
          <w:i/>
          <w:sz w:val="20"/>
          <w:szCs w:val="20"/>
        </w:rPr>
        <w:t>International</w:t>
      </w:r>
      <w:proofErr w:type="spellEnd"/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021B3F" w:rsidRDefault="00021B3F" w:rsidP="00021B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19-03-2014</w:t>
      </w:r>
    </w:p>
    <w:p w:rsidR="00021B3F" w:rsidRPr="00021B3F" w:rsidRDefault="00021B3F" w:rsidP="00021B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48/</w:t>
      </w:r>
      <w:proofErr w:type="spellStart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021B3F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021B3F" w:rsidRPr="00021B3F" w:rsidRDefault="00021B3F" w:rsidP="00021B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21B3F" w:rsidRDefault="00021B3F" w:rsidP="00021B3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>
        <w:rPr>
          <w:rFonts w:asciiTheme="minorHAnsi" w:hAnsiTheme="minorHAnsi" w:cs="Arial"/>
          <w:color w:val="222222"/>
        </w:rPr>
        <w:t>Liberdade de expressão face a alegações de tortura</w:t>
      </w:r>
    </w:p>
    <w:p w:rsidR="00021B3F" w:rsidRPr="0000435A" w:rsidRDefault="00021B3F" w:rsidP="00021B3F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 w:rsidRPr="005554EA">
        <w:rPr>
          <w:rFonts w:asciiTheme="minorHAnsi" w:hAnsiTheme="minorHAnsi" w:cs="Arial"/>
          <w:color w:val="222222"/>
        </w:rPr>
        <w:t xml:space="preserve">Aqui se relata como um </w:t>
      </w:r>
      <w:r w:rsidR="00AD19DA" w:rsidRPr="005554EA">
        <w:rPr>
          <w:rFonts w:asciiTheme="minorHAnsi" w:hAnsiTheme="minorHAnsi" w:cs="Arial"/>
          <w:color w:val="222222"/>
        </w:rPr>
        <w:t xml:space="preserve">tribunal a </w:t>
      </w:r>
      <w:r w:rsidRPr="005554EA">
        <w:rPr>
          <w:rFonts w:asciiTheme="minorHAnsi" w:hAnsiTheme="minorHAnsi" w:cs="Arial"/>
          <w:color w:val="222222"/>
        </w:rPr>
        <w:t>julga</w:t>
      </w:r>
      <w:r w:rsidR="00AD19DA" w:rsidRPr="005554EA">
        <w:rPr>
          <w:rFonts w:asciiTheme="minorHAnsi" w:hAnsiTheme="minorHAnsi" w:cs="Arial"/>
          <w:color w:val="222222"/>
        </w:rPr>
        <w:t>r</w:t>
      </w:r>
      <w:r w:rsidRPr="005554EA">
        <w:rPr>
          <w:rFonts w:asciiTheme="minorHAnsi" w:hAnsiTheme="minorHAnsi" w:cs="Arial"/>
          <w:color w:val="222222"/>
        </w:rPr>
        <w:t xml:space="preserve"> um caso de homicídio </w:t>
      </w:r>
      <w:r w:rsidR="00AD19DA" w:rsidRPr="005554EA">
        <w:rPr>
          <w:rFonts w:asciiTheme="minorHAnsi" w:hAnsiTheme="minorHAnsi" w:cs="Arial"/>
          <w:color w:val="222222"/>
        </w:rPr>
        <w:t xml:space="preserve">pode ignorar </w:t>
      </w:r>
      <w:r w:rsidRPr="005554EA">
        <w:rPr>
          <w:rFonts w:asciiTheme="minorHAnsi" w:hAnsiTheme="minorHAnsi" w:cs="Arial"/>
          <w:color w:val="222222"/>
        </w:rPr>
        <w:t>denúncia</w:t>
      </w:r>
      <w:r w:rsidR="00AD19DA" w:rsidRPr="005554EA">
        <w:rPr>
          <w:rFonts w:asciiTheme="minorHAnsi" w:hAnsiTheme="minorHAnsi" w:cs="Arial"/>
          <w:color w:val="222222"/>
        </w:rPr>
        <w:t>s</w:t>
      </w:r>
      <w:r w:rsidRPr="005554EA">
        <w:rPr>
          <w:rFonts w:asciiTheme="minorHAnsi" w:hAnsiTheme="minorHAnsi" w:cs="Arial"/>
          <w:color w:val="222222"/>
        </w:rPr>
        <w:t xml:space="preserve"> de tortura </w:t>
      </w:r>
      <w:r w:rsidR="00AD19DA" w:rsidRPr="005554EA">
        <w:rPr>
          <w:rFonts w:asciiTheme="minorHAnsi" w:hAnsiTheme="minorHAnsi" w:cs="Arial"/>
          <w:color w:val="222222"/>
        </w:rPr>
        <w:t xml:space="preserve">e condicionar a actuação do advogado de defesa, apelando à perseguição </w:t>
      </w:r>
      <w:proofErr w:type="spellStart"/>
      <w:r w:rsidR="00AD19DA" w:rsidRPr="005554EA">
        <w:rPr>
          <w:rFonts w:asciiTheme="minorHAnsi" w:hAnsiTheme="minorHAnsi" w:cs="Arial"/>
          <w:i/>
          <w:color w:val="222222"/>
        </w:rPr>
        <w:t>ad</w:t>
      </w:r>
      <w:proofErr w:type="spellEnd"/>
      <w:r w:rsidR="00AD19DA" w:rsidRPr="005554EA">
        <w:rPr>
          <w:rFonts w:asciiTheme="minorHAnsi" w:hAnsiTheme="minorHAnsi" w:cs="Arial"/>
          <w:i/>
          <w:color w:val="222222"/>
        </w:rPr>
        <w:t xml:space="preserve"> </w:t>
      </w:r>
      <w:proofErr w:type="spellStart"/>
      <w:r w:rsidR="00AD19DA" w:rsidRPr="005554EA">
        <w:rPr>
          <w:rFonts w:asciiTheme="minorHAnsi" w:hAnsiTheme="minorHAnsi" w:cs="Arial"/>
          <w:i/>
          <w:color w:val="222222"/>
        </w:rPr>
        <w:t>hominem</w:t>
      </w:r>
      <w:proofErr w:type="spellEnd"/>
      <w:r w:rsidR="00AD19DA" w:rsidRPr="005554EA">
        <w:rPr>
          <w:rFonts w:asciiTheme="minorHAnsi" w:hAnsiTheme="minorHAnsi" w:cs="Arial"/>
          <w:color w:val="222222"/>
        </w:rPr>
        <w:t xml:space="preserve">. No caso, dois agentes </w:t>
      </w:r>
      <w:r w:rsidR="005554EA" w:rsidRPr="005554EA">
        <w:rPr>
          <w:rFonts w:asciiTheme="minorHAnsi" w:hAnsiTheme="minorHAnsi" w:cs="Arial"/>
          <w:color w:val="222222"/>
        </w:rPr>
        <w:t>r</w:t>
      </w:r>
      <w:r w:rsidR="005554EA" w:rsidRPr="005554EA">
        <w:rPr>
          <w:rFonts w:asciiTheme="minorHAnsi" w:hAnsiTheme="minorHAnsi"/>
        </w:rPr>
        <w:t>esponderam ao apelo e concretizaram a pretensão. Quem, no desempenho do múnus da promoção da acção penal aceitou tomar uma perseguição desta natureza como processo judicial? Que juiz de instrução aceitou pronunciar nestes termos?</w:t>
      </w:r>
      <w:r w:rsidR="00501BC9" w:rsidRPr="005554EA">
        <w:rPr>
          <w:rFonts w:asciiTheme="minorHAnsi" w:hAnsiTheme="minorHAnsi" w:cs="Arial"/>
          <w:color w:val="222222"/>
        </w:rPr>
        <w:t xml:space="preserve"> </w:t>
      </w:r>
      <w:r w:rsidR="00AD19DA" w:rsidRPr="005554EA">
        <w:rPr>
          <w:rFonts w:asciiTheme="minorHAnsi" w:hAnsiTheme="minorHAnsi" w:cs="Arial"/>
          <w:color w:val="222222"/>
        </w:rPr>
        <w:t>Concluído o julgamento, que consequências</w:t>
      </w:r>
      <w:r w:rsidR="00AD19DA">
        <w:rPr>
          <w:rFonts w:asciiTheme="minorHAnsi" w:hAnsiTheme="minorHAnsi" w:cs="Arial"/>
          <w:color w:val="222222"/>
        </w:rPr>
        <w:t xml:space="preserve"> se devem tirar? Tudo pode ficar na mesma?</w:t>
      </w:r>
    </w:p>
    <w:p w:rsidR="00301AA7" w:rsidRDefault="00301AA7" w:rsidP="00634B9A">
      <w:pPr>
        <w:jc w:val="both"/>
        <w:rPr>
          <w:lang w:val="pt-PT"/>
        </w:rPr>
      </w:pPr>
    </w:p>
    <w:p w:rsidR="00490794" w:rsidRDefault="003D597F" w:rsidP="00634B9A">
      <w:pPr>
        <w:jc w:val="both"/>
        <w:rPr>
          <w:lang w:val="pt-PT"/>
        </w:rPr>
      </w:pPr>
      <w:r>
        <w:rPr>
          <w:lang w:val="pt-PT"/>
        </w:rPr>
        <w:t xml:space="preserve">Dois membros da ACED </w:t>
      </w:r>
      <w:r w:rsidR="00490794">
        <w:rPr>
          <w:lang w:val="pt-PT"/>
        </w:rPr>
        <w:t xml:space="preserve">– António Pedro Andrade Dores </w:t>
      </w:r>
      <w:r w:rsidR="003F7729">
        <w:rPr>
          <w:lang w:val="pt-PT"/>
        </w:rPr>
        <w:t xml:space="preserve">e José Preto </w:t>
      </w:r>
      <w:r w:rsidR="00490794">
        <w:rPr>
          <w:lang w:val="pt-PT"/>
        </w:rPr>
        <w:t xml:space="preserve">- </w:t>
      </w:r>
      <w:r>
        <w:rPr>
          <w:lang w:val="pt-PT"/>
        </w:rPr>
        <w:t xml:space="preserve">foram absolvidos por sentença do 6º Juízo Criminal </w:t>
      </w:r>
      <w:r w:rsidR="00490794">
        <w:rPr>
          <w:lang w:val="pt-PT"/>
        </w:rPr>
        <w:t xml:space="preserve">de Lisboa </w:t>
      </w:r>
      <w:r>
        <w:rPr>
          <w:lang w:val="pt-PT"/>
        </w:rPr>
        <w:t xml:space="preserve">de uma acusação </w:t>
      </w:r>
      <w:r w:rsidR="00D43503">
        <w:rPr>
          <w:lang w:val="pt-PT"/>
        </w:rPr>
        <w:t xml:space="preserve">- </w:t>
      </w:r>
      <w:r>
        <w:rPr>
          <w:lang w:val="pt-PT"/>
        </w:rPr>
        <w:t>e pronúncia</w:t>
      </w:r>
      <w:r w:rsidR="00D43503">
        <w:rPr>
          <w:lang w:val="pt-PT"/>
        </w:rPr>
        <w:t xml:space="preserve"> -</w:t>
      </w:r>
      <w:r>
        <w:rPr>
          <w:lang w:val="pt-PT"/>
        </w:rPr>
        <w:t xml:space="preserve"> por pretensa difamação</w:t>
      </w:r>
      <w:r w:rsidR="0082436C">
        <w:rPr>
          <w:lang w:val="pt-PT"/>
        </w:rPr>
        <w:t>, sendo os queixosos (e assistentes) os ins</w:t>
      </w:r>
      <w:r>
        <w:rPr>
          <w:lang w:val="pt-PT"/>
        </w:rPr>
        <w:t>pectores Figueiredo e Lourenço da Polícia Judiciária de Braga. Os factos reportam-se a Agosto de 2008. A queixa foi apresentada em Dezembro de 2009</w:t>
      </w:r>
      <w:r w:rsidR="00745572">
        <w:rPr>
          <w:lang w:val="pt-PT"/>
        </w:rPr>
        <w:t xml:space="preserve">. </w:t>
      </w:r>
    </w:p>
    <w:p w:rsidR="003F7729" w:rsidRDefault="00D43503" w:rsidP="00634B9A">
      <w:pPr>
        <w:jc w:val="both"/>
        <w:rPr>
          <w:lang w:val="pt-PT"/>
        </w:rPr>
      </w:pPr>
      <w:r>
        <w:rPr>
          <w:lang w:val="pt-PT"/>
        </w:rPr>
        <w:t>Em causa estava</w:t>
      </w:r>
      <w:r w:rsidR="004D005C">
        <w:rPr>
          <w:lang w:val="pt-PT"/>
        </w:rPr>
        <w:t>m</w:t>
      </w:r>
      <w:r>
        <w:rPr>
          <w:lang w:val="pt-PT"/>
        </w:rPr>
        <w:t xml:space="preserve"> a recolha em depoimento escrito das queixas de um casal espanhol capturado no Algarve e que veio posteriormente a ser acusado e condenado por homicídio, actualmente em cumprimento de pena em Espanha para onde </w:t>
      </w:r>
      <w:r w:rsidR="0082436C">
        <w:rPr>
          <w:lang w:val="pt-PT"/>
        </w:rPr>
        <w:t>ambos</w:t>
      </w:r>
      <w:r w:rsidR="00301AA7">
        <w:rPr>
          <w:lang w:val="pt-PT"/>
        </w:rPr>
        <w:t xml:space="preserve"> os cônjuges</w:t>
      </w:r>
      <w:r w:rsidR="0082436C">
        <w:rPr>
          <w:lang w:val="pt-PT"/>
        </w:rPr>
        <w:t xml:space="preserve"> </w:t>
      </w:r>
      <w:r>
        <w:rPr>
          <w:lang w:val="pt-PT"/>
        </w:rPr>
        <w:t xml:space="preserve">pediram a transferência. </w:t>
      </w:r>
    </w:p>
    <w:p w:rsidR="00D43503" w:rsidRDefault="00D43503" w:rsidP="00634B9A">
      <w:pPr>
        <w:jc w:val="both"/>
        <w:rPr>
          <w:lang w:val="pt-PT"/>
        </w:rPr>
      </w:pPr>
      <w:r>
        <w:rPr>
          <w:lang w:val="pt-PT"/>
        </w:rPr>
        <w:t>A ACED recebeu as primeiras queixas e pediu a José Preto que fosse ouvir os queixosos. O advogado recolheu as queixas por escrito. Formulou as suas recomendações. E comunicou os factos ao Bastonário Marinho Pinto.</w:t>
      </w:r>
      <w:r w:rsidR="000B42B5">
        <w:rPr>
          <w:lang w:val="pt-PT"/>
        </w:rPr>
        <w:t xml:space="preserve"> Por carta. </w:t>
      </w:r>
      <w:r w:rsidR="00BF3C97">
        <w:rPr>
          <w:lang w:val="pt-PT"/>
        </w:rPr>
        <w:t xml:space="preserve">Remeteu cópia dessa carta à ACED. </w:t>
      </w:r>
      <w:r w:rsidR="000B42B5">
        <w:rPr>
          <w:lang w:val="pt-PT"/>
        </w:rPr>
        <w:t>Essa carta foi subscrita pela ACED e remetida às entidades a quem dá conhecimento dos abusos em meio prisional, quando deles toma conhecimento em pedidos de ajuda.</w:t>
      </w:r>
      <w:r w:rsidR="00BF3C97">
        <w:rPr>
          <w:lang w:val="pt-PT"/>
        </w:rPr>
        <w:t xml:space="preserve"> E publicou, como sempre, o que tinha feito.</w:t>
      </w:r>
    </w:p>
    <w:p w:rsidR="00F63A0D" w:rsidRDefault="00745572" w:rsidP="00634B9A">
      <w:pPr>
        <w:jc w:val="both"/>
        <w:rPr>
          <w:lang w:val="pt-PT"/>
        </w:rPr>
      </w:pPr>
      <w:r>
        <w:rPr>
          <w:lang w:val="pt-PT"/>
        </w:rPr>
        <w:lastRenderedPageBreak/>
        <w:t>Segundo declararam</w:t>
      </w:r>
      <w:r w:rsidR="00490794">
        <w:rPr>
          <w:lang w:val="pt-PT"/>
        </w:rPr>
        <w:t xml:space="preserve"> os </w:t>
      </w:r>
      <w:r w:rsidR="00066791">
        <w:rPr>
          <w:lang w:val="pt-PT"/>
        </w:rPr>
        <w:t>assistentes</w:t>
      </w:r>
      <w:r w:rsidR="005554EA">
        <w:rPr>
          <w:lang w:val="pt-PT"/>
        </w:rPr>
        <w:t xml:space="preserve"> e </w:t>
      </w:r>
      <w:r w:rsidR="005554EA" w:rsidRPr="005554EA">
        <w:rPr>
          <w:lang w:val="pt-PT"/>
        </w:rPr>
        <w:t>uma testemunha</w:t>
      </w:r>
      <w:r>
        <w:rPr>
          <w:lang w:val="pt-PT"/>
        </w:rPr>
        <w:t>, foi um funcionário da secretaria do Tribunal de Caminha que lhe</w:t>
      </w:r>
      <w:r w:rsidR="003C060B">
        <w:rPr>
          <w:lang w:val="pt-PT"/>
        </w:rPr>
        <w:t>s</w:t>
      </w:r>
      <w:r>
        <w:rPr>
          <w:lang w:val="pt-PT"/>
        </w:rPr>
        <w:t xml:space="preserve"> deu conhecimento da p</w:t>
      </w:r>
      <w:r w:rsidR="00BF3C97">
        <w:rPr>
          <w:lang w:val="pt-PT"/>
        </w:rPr>
        <w:t>resença</w:t>
      </w:r>
      <w:r w:rsidR="00466C6E">
        <w:rPr>
          <w:lang w:val="pt-PT"/>
        </w:rPr>
        <w:t xml:space="preserve"> no site da ACED</w:t>
      </w:r>
      <w:r w:rsidR="00BF3C97">
        <w:rPr>
          <w:lang w:val="pt-PT"/>
        </w:rPr>
        <w:t xml:space="preserve"> da c</w:t>
      </w:r>
      <w:r>
        <w:rPr>
          <w:lang w:val="pt-PT"/>
        </w:rPr>
        <w:t>arta de José Preto ao Bastonário Marinho Pinto por cuja redacção e publicação se queixavam. E esse conhecimento teria sido dado durante o julgamento de Rosa Fito e Francisco Colmenar onde José Preto assegurou a defesa</w:t>
      </w:r>
      <w:r w:rsidR="00490794">
        <w:rPr>
          <w:lang w:val="pt-PT"/>
        </w:rPr>
        <w:t xml:space="preserve"> </w:t>
      </w:r>
      <w:r w:rsidR="003C060B">
        <w:rPr>
          <w:lang w:val="pt-PT"/>
        </w:rPr>
        <w:t xml:space="preserve">nas circunstâncias e estado </w:t>
      </w:r>
      <w:r w:rsidR="00490794">
        <w:rPr>
          <w:lang w:val="pt-PT"/>
        </w:rPr>
        <w:t xml:space="preserve">de espírito que a carta bem documenta. </w:t>
      </w:r>
    </w:p>
    <w:p w:rsidR="00063A87" w:rsidRDefault="00063A87" w:rsidP="00634B9A">
      <w:pPr>
        <w:jc w:val="both"/>
        <w:rPr>
          <w:lang w:val="pt-PT"/>
        </w:rPr>
      </w:pPr>
      <w:r>
        <w:rPr>
          <w:lang w:val="pt-PT"/>
        </w:rPr>
        <w:t>O Prof. António Pedro Dores não prestou quaisquer declarações.</w:t>
      </w:r>
    </w:p>
    <w:p w:rsidR="008E79CE" w:rsidRDefault="00490794" w:rsidP="00634B9A">
      <w:pPr>
        <w:jc w:val="both"/>
        <w:rPr>
          <w:lang w:val="pt-PT"/>
        </w:rPr>
      </w:pPr>
      <w:r>
        <w:rPr>
          <w:lang w:val="pt-PT"/>
        </w:rPr>
        <w:t xml:space="preserve">José Preto sublinhou em declarações finais que o impressionava o facto do Tribunal de Caminha, </w:t>
      </w:r>
      <w:r w:rsidR="00634B9A">
        <w:rPr>
          <w:lang w:val="pt-PT"/>
        </w:rPr>
        <w:t>(porque a secretaria também é tribunal, acrescentou), na pendência d</w:t>
      </w:r>
      <w:r>
        <w:rPr>
          <w:lang w:val="pt-PT"/>
        </w:rPr>
        <w:t>o julgamento, estar a conspirar contra o defensor angariando participantes contra ele</w:t>
      </w:r>
      <w:r w:rsidR="008E79CE">
        <w:rPr>
          <w:lang w:val="pt-PT"/>
        </w:rPr>
        <w:t xml:space="preserve">. </w:t>
      </w:r>
      <w:r w:rsidR="00063A87">
        <w:rPr>
          <w:lang w:val="pt-PT"/>
        </w:rPr>
        <w:t>Porque o</w:t>
      </w:r>
      <w:r w:rsidR="008E79CE">
        <w:rPr>
          <w:lang w:val="pt-PT"/>
        </w:rPr>
        <w:t xml:space="preserve"> MP já </w:t>
      </w:r>
      <w:r w:rsidR="00C94250">
        <w:rPr>
          <w:lang w:val="pt-PT"/>
        </w:rPr>
        <w:t xml:space="preserve">tinha </w:t>
      </w:r>
      <w:r w:rsidR="008E79CE">
        <w:rPr>
          <w:lang w:val="pt-PT"/>
        </w:rPr>
        <w:t>enviado certidões para participação criminal a quem imaginava passível de se sentir ofendido pelas peças processuais da defesa</w:t>
      </w:r>
      <w:r w:rsidR="00634B9A">
        <w:rPr>
          <w:lang w:val="pt-PT"/>
        </w:rPr>
        <w:t xml:space="preserve">, </w:t>
      </w:r>
      <w:r w:rsidR="0054744E">
        <w:rPr>
          <w:lang w:val="pt-PT"/>
        </w:rPr>
        <w:t xml:space="preserve">mas </w:t>
      </w:r>
      <w:r w:rsidR="00634B9A">
        <w:rPr>
          <w:lang w:val="pt-PT"/>
        </w:rPr>
        <w:t xml:space="preserve">sem nenhum êxito. A secretaria, segundo declararam os assistentes, </w:t>
      </w:r>
      <w:r w:rsidR="003C060B">
        <w:rPr>
          <w:lang w:val="pt-PT"/>
        </w:rPr>
        <w:t xml:space="preserve">parece ter secundado </w:t>
      </w:r>
      <w:r w:rsidR="00634B9A">
        <w:rPr>
          <w:lang w:val="pt-PT"/>
        </w:rPr>
        <w:t xml:space="preserve">o esforço </w:t>
      </w:r>
      <w:r w:rsidR="0054744E">
        <w:rPr>
          <w:lang w:val="pt-PT"/>
        </w:rPr>
        <w:t xml:space="preserve">angariando queixas </w:t>
      </w:r>
      <w:r w:rsidR="00634B9A">
        <w:rPr>
          <w:lang w:val="pt-PT"/>
        </w:rPr>
        <w:t xml:space="preserve">e desta vez com </w:t>
      </w:r>
      <w:r w:rsidR="00A43015">
        <w:rPr>
          <w:lang w:val="pt-PT"/>
        </w:rPr>
        <w:t xml:space="preserve">este </w:t>
      </w:r>
      <w:r w:rsidR="00634B9A">
        <w:rPr>
          <w:lang w:val="pt-PT"/>
        </w:rPr>
        <w:t>resultado.</w:t>
      </w:r>
      <w:r w:rsidR="003C060B">
        <w:rPr>
          <w:lang w:val="pt-PT"/>
        </w:rPr>
        <w:t xml:space="preserve"> É pelo menos assim que José Preto declarou olhar os factos de que ali teve conhecimento.</w:t>
      </w:r>
      <w:r w:rsidR="00634B9A">
        <w:rPr>
          <w:lang w:val="pt-PT"/>
        </w:rPr>
        <w:t xml:space="preserve"> </w:t>
      </w:r>
      <w:r w:rsidR="00A80F33">
        <w:rPr>
          <w:lang w:val="pt-PT"/>
        </w:rPr>
        <w:t>E essa perspectiva parece-nos razoável.</w:t>
      </w:r>
      <w:r w:rsidR="008E79CE">
        <w:rPr>
          <w:lang w:val="pt-PT"/>
        </w:rPr>
        <w:t xml:space="preserve"> </w:t>
      </w:r>
    </w:p>
    <w:p w:rsidR="00C94250" w:rsidRDefault="00A80F33" w:rsidP="00634B9A">
      <w:pPr>
        <w:jc w:val="both"/>
        <w:rPr>
          <w:lang w:val="pt-PT"/>
        </w:rPr>
      </w:pPr>
      <w:r>
        <w:rPr>
          <w:lang w:val="pt-PT"/>
        </w:rPr>
        <w:t>O</w:t>
      </w:r>
      <w:r w:rsidR="00EB4058">
        <w:rPr>
          <w:lang w:val="pt-PT"/>
        </w:rPr>
        <w:t xml:space="preserve"> </w:t>
      </w:r>
      <w:r w:rsidR="00C94250">
        <w:rPr>
          <w:lang w:val="pt-PT"/>
        </w:rPr>
        <w:t>resultado fo</w:t>
      </w:r>
      <w:r w:rsidR="00EB4058">
        <w:rPr>
          <w:lang w:val="pt-PT"/>
        </w:rPr>
        <w:t>i</w:t>
      </w:r>
      <w:r w:rsidR="00C94250">
        <w:rPr>
          <w:lang w:val="pt-PT"/>
        </w:rPr>
        <w:t xml:space="preserve"> a pendência de um processo criminal inviável – tanto processualmente como substancialmente – </w:t>
      </w:r>
      <w:r w:rsidR="00066791">
        <w:rPr>
          <w:lang w:val="pt-PT"/>
        </w:rPr>
        <w:t xml:space="preserve">pendente </w:t>
      </w:r>
      <w:r w:rsidR="00C94250">
        <w:rPr>
          <w:lang w:val="pt-PT"/>
        </w:rPr>
        <w:t xml:space="preserve">desde 2009 até 2014, com todos os incómodos que isso traduz. Recorda-se que a primeira defensora nestes autos, Carolina </w:t>
      </w:r>
      <w:proofErr w:type="spellStart"/>
      <w:r w:rsidR="00C94250">
        <w:rPr>
          <w:lang w:val="pt-PT"/>
        </w:rPr>
        <w:t>Cipolli</w:t>
      </w:r>
      <w:proofErr w:type="spellEnd"/>
      <w:r w:rsidR="00C94250">
        <w:rPr>
          <w:lang w:val="pt-PT"/>
        </w:rPr>
        <w:t xml:space="preserve"> Preto também jurista da ACED</w:t>
      </w:r>
      <w:proofErr w:type="gramStart"/>
      <w:r w:rsidR="00C94250">
        <w:rPr>
          <w:lang w:val="pt-PT"/>
        </w:rPr>
        <w:t>,</w:t>
      </w:r>
      <w:proofErr w:type="gramEnd"/>
      <w:r w:rsidR="00C94250">
        <w:rPr>
          <w:lang w:val="pt-PT"/>
        </w:rPr>
        <w:t xml:space="preserve"> faleceu na pendência da tramitação.</w:t>
      </w:r>
      <w:r w:rsidR="00A43015">
        <w:rPr>
          <w:lang w:val="pt-PT"/>
        </w:rPr>
        <w:t xml:space="preserve"> </w:t>
      </w:r>
    </w:p>
    <w:p w:rsidR="00A43015" w:rsidRDefault="00C95C8F" w:rsidP="00634B9A">
      <w:pPr>
        <w:jc w:val="both"/>
        <w:rPr>
          <w:lang w:val="pt-PT"/>
        </w:rPr>
      </w:pPr>
      <w:r>
        <w:rPr>
          <w:lang w:val="pt-PT"/>
        </w:rPr>
        <w:t>É a quarta absolvição de António Pedro Andrade Dores</w:t>
      </w:r>
      <w:r w:rsidR="00EB4058">
        <w:rPr>
          <w:lang w:val="pt-PT"/>
        </w:rPr>
        <w:t>, que desde 2004 tem sido submetido a pendências processuais abusivas</w:t>
      </w:r>
      <w:r w:rsidR="00A80F33">
        <w:rPr>
          <w:lang w:val="pt-PT"/>
        </w:rPr>
        <w:t>,</w:t>
      </w:r>
      <w:r w:rsidR="00A43015">
        <w:rPr>
          <w:lang w:val="pt-PT"/>
        </w:rPr>
        <w:t xml:space="preserve"> </w:t>
      </w:r>
      <w:r w:rsidR="00A80F33">
        <w:rPr>
          <w:lang w:val="pt-PT"/>
        </w:rPr>
        <w:t>e</w:t>
      </w:r>
      <w:r w:rsidR="00A43015">
        <w:rPr>
          <w:lang w:val="pt-PT"/>
        </w:rPr>
        <w:t>m alguns casos simultâneas</w:t>
      </w:r>
      <w:r w:rsidR="00EB4058">
        <w:rPr>
          <w:lang w:val="pt-PT"/>
        </w:rPr>
        <w:t>, em processos infundados e em razão da sua militância em prol dos Direitos do Homem.</w:t>
      </w:r>
      <w:r w:rsidR="004B7D88">
        <w:rPr>
          <w:lang w:val="pt-PT"/>
        </w:rPr>
        <w:t xml:space="preserve"> Mais exactamente, a ACED tem sido perseguida na sua actividade pela retaliação processual permanente sobre António Pedro Dores.</w:t>
      </w:r>
      <w:r w:rsidR="00EB4058">
        <w:rPr>
          <w:lang w:val="pt-PT"/>
        </w:rPr>
        <w:t xml:space="preserve"> </w:t>
      </w:r>
      <w:r w:rsidR="00A80F33">
        <w:rPr>
          <w:lang w:val="pt-PT"/>
        </w:rPr>
        <w:t>Parece t</w:t>
      </w:r>
      <w:r w:rsidR="00EB4058">
        <w:rPr>
          <w:lang w:val="pt-PT"/>
        </w:rPr>
        <w:t>rata</w:t>
      </w:r>
      <w:r w:rsidR="00A80F33">
        <w:rPr>
          <w:lang w:val="pt-PT"/>
        </w:rPr>
        <w:t>r</w:t>
      </w:r>
      <w:r w:rsidR="00EB4058">
        <w:rPr>
          <w:lang w:val="pt-PT"/>
        </w:rPr>
        <w:t xml:space="preserve">-se portanto de um estratagema </w:t>
      </w:r>
      <w:r>
        <w:rPr>
          <w:lang w:val="pt-PT"/>
        </w:rPr>
        <w:t>de assédio processual</w:t>
      </w:r>
      <w:r w:rsidR="00A43015">
        <w:rPr>
          <w:lang w:val="pt-PT"/>
        </w:rPr>
        <w:t xml:space="preserve">, </w:t>
      </w:r>
      <w:r>
        <w:rPr>
          <w:lang w:val="pt-PT"/>
        </w:rPr>
        <w:t>aliás proibido à luz da jurisprudência do Tribunal Europeu dos Direitos do Homem</w:t>
      </w:r>
      <w:r w:rsidR="00A43015">
        <w:rPr>
          <w:lang w:val="pt-PT"/>
        </w:rPr>
        <w:t>.</w:t>
      </w:r>
      <w:r w:rsidR="00466C6E">
        <w:rPr>
          <w:lang w:val="pt-PT"/>
        </w:rPr>
        <w:t xml:space="preserve"> </w:t>
      </w:r>
    </w:p>
    <w:p w:rsidR="000C78A8" w:rsidRDefault="00A43015" w:rsidP="00634B9A">
      <w:pPr>
        <w:jc w:val="both"/>
        <w:rPr>
          <w:lang w:val="pt-PT"/>
        </w:rPr>
      </w:pPr>
      <w:r>
        <w:rPr>
          <w:lang w:val="pt-PT"/>
        </w:rPr>
        <w:t xml:space="preserve">Ocorreu </w:t>
      </w:r>
      <w:r w:rsidR="00EB4058">
        <w:rPr>
          <w:lang w:val="pt-PT"/>
        </w:rPr>
        <w:t xml:space="preserve">agora e também </w:t>
      </w:r>
      <w:r w:rsidR="00C95C8F">
        <w:rPr>
          <w:lang w:val="pt-PT"/>
        </w:rPr>
        <w:t xml:space="preserve">a segunda absolvição de um jurista da ACED (a primeira </w:t>
      </w:r>
      <w:r>
        <w:rPr>
          <w:lang w:val="pt-PT"/>
        </w:rPr>
        <w:t xml:space="preserve">verificou-se em </w:t>
      </w:r>
      <w:r w:rsidR="00C95C8F">
        <w:rPr>
          <w:lang w:val="pt-PT"/>
        </w:rPr>
        <w:t>Faro com a sentença absolutória de Marcos Aragão Correia e António Pedro Andrade Dores</w:t>
      </w:r>
      <w:r w:rsidR="00EB4058">
        <w:rPr>
          <w:lang w:val="pt-PT"/>
        </w:rPr>
        <w:t xml:space="preserve"> numa </w:t>
      </w:r>
      <w:r w:rsidR="000C78A8">
        <w:rPr>
          <w:lang w:val="pt-PT"/>
        </w:rPr>
        <w:t>queixa d</w:t>
      </w:r>
      <w:r>
        <w:rPr>
          <w:lang w:val="pt-PT"/>
        </w:rPr>
        <w:t>o ex-inspector</w:t>
      </w:r>
      <w:r w:rsidR="000C78A8">
        <w:rPr>
          <w:lang w:val="pt-PT"/>
        </w:rPr>
        <w:t xml:space="preserve"> Gonçalo Amaral que </w:t>
      </w:r>
      <w:r w:rsidR="00EB4058">
        <w:rPr>
          <w:lang w:val="pt-PT"/>
        </w:rPr>
        <w:t xml:space="preserve">– </w:t>
      </w:r>
      <w:r w:rsidR="004B7D88">
        <w:rPr>
          <w:lang w:val="pt-PT"/>
        </w:rPr>
        <w:t>do ponto de vista da sua delicad</w:t>
      </w:r>
      <w:r w:rsidR="00B934C3">
        <w:rPr>
          <w:lang w:val="pt-PT"/>
        </w:rPr>
        <w:t>a</w:t>
      </w:r>
      <w:r w:rsidR="004B7D88">
        <w:rPr>
          <w:lang w:val="pt-PT"/>
        </w:rPr>
        <w:t xml:space="preserve"> sensibilidade </w:t>
      </w:r>
      <w:r w:rsidR="00A80F33">
        <w:rPr>
          <w:lang w:val="pt-PT"/>
        </w:rPr>
        <w:t xml:space="preserve">- </w:t>
      </w:r>
      <w:r w:rsidR="000C78A8">
        <w:rPr>
          <w:lang w:val="pt-PT"/>
        </w:rPr>
        <w:t xml:space="preserve">se sentia ofendido por alegações em cujos termos ele teria tomado conhecimento da tortura de </w:t>
      </w:r>
      <w:r w:rsidR="00EB4058">
        <w:rPr>
          <w:lang w:val="pt-PT"/>
        </w:rPr>
        <w:t>Leonor Cipriano</w:t>
      </w:r>
      <w:r w:rsidR="006C474B">
        <w:rPr>
          <w:lang w:val="pt-PT"/>
        </w:rPr>
        <w:t>,</w:t>
      </w:r>
      <w:r w:rsidR="00EB4058">
        <w:rPr>
          <w:lang w:val="pt-PT"/>
        </w:rPr>
        <w:t xml:space="preserve"> judicialmente confirmada</w:t>
      </w:r>
      <w:r w:rsidR="000C78A8">
        <w:rPr>
          <w:lang w:val="pt-PT"/>
        </w:rPr>
        <w:t xml:space="preserve"> </w:t>
      </w:r>
      <w:r w:rsidR="001448C9">
        <w:rPr>
          <w:lang w:val="pt-PT"/>
        </w:rPr>
        <w:t xml:space="preserve">por acórdão do Supremo Tribunal </w:t>
      </w:r>
      <w:r w:rsidR="00B934C3">
        <w:rPr>
          <w:lang w:val="pt-PT"/>
        </w:rPr>
        <w:t xml:space="preserve">de Justiça, </w:t>
      </w:r>
      <w:r w:rsidR="001448C9">
        <w:rPr>
          <w:lang w:val="pt-PT"/>
        </w:rPr>
        <w:t>em processo onde aquele Gonçalo Amaral fora condenado. Marc</w:t>
      </w:r>
      <w:r w:rsidR="00214FA6">
        <w:rPr>
          <w:lang w:val="pt-PT"/>
        </w:rPr>
        <w:t>o</w:t>
      </w:r>
      <w:r w:rsidR="001448C9">
        <w:rPr>
          <w:lang w:val="pt-PT"/>
        </w:rPr>
        <w:t>s Aragão Correia foi ali defendido pela Dr.ª Isabel Duarte</w:t>
      </w:r>
      <w:r w:rsidR="005554EA">
        <w:rPr>
          <w:lang w:val="pt-PT"/>
        </w:rPr>
        <w:t>)</w:t>
      </w:r>
      <w:r w:rsidR="001448C9">
        <w:rPr>
          <w:lang w:val="pt-PT"/>
        </w:rPr>
        <w:t xml:space="preserve">. </w:t>
      </w:r>
    </w:p>
    <w:p w:rsidR="00C95C8F" w:rsidRDefault="000C78A8" w:rsidP="00634B9A">
      <w:pPr>
        <w:jc w:val="both"/>
        <w:rPr>
          <w:lang w:val="pt-PT"/>
        </w:rPr>
      </w:pPr>
      <w:r>
        <w:rPr>
          <w:lang w:val="pt-PT"/>
        </w:rPr>
        <w:t>Desta vez</w:t>
      </w:r>
      <w:r w:rsidR="001448C9">
        <w:rPr>
          <w:lang w:val="pt-PT"/>
        </w:rPr>
        <w:t>,</w:t>
      </w:r>
      <w:r>
        <w:rPr>
          <w:lang w:val="pt-PT"/>
        </w:rPr>
        <w:t xml:space="preserve"> porém</w:t>
      </w:r>
      <w:r w:rsidR="00201A6F">
        <w:rPr>
          <w:lang w:val="pt-PT"/>
        </w:rPr>
        <w:t>,</w:t>
      </w:r>
      <w:r>
        <w:rPr>
          <w:lang w:val="pt-PT"/>
        </w:rPr>
        <w:t xml:space="preserve"> a novidade foi que um dos arguidos era o defensor habitual do Prof. Andrade Dores e que</w:t>
      </w:r>
      <w:r w:rsidR="001448C9">
        <w:rPr>
          <w:lang w:val="pt-PT"/>
        </w:rPr>
        <w:t>,</w:t>
      </w:r>
      <w:r>
        <w:rPr>
          <w:lang w:val="pt-PT"/>
        </w:rPr>
        <w:t xml:space="preserve"> por isso</w:t>
      </w:r>
      <w:r w:rsidR="001448C9">
        <w:rPr>
          <w:lang w:val="pt-PT"/>
        </w:rPr>
        <w:t>,</w:t>
      </w:r>
      <w:r>
        <w:rPr>
          <w:lang w:val="pt-PT"/>
        </w:rPr>
        <w:t xml:space="preserve"> não pôde exercer a defesa</w:t>
      </w:r>
      <w:r w:rsidR="00444EDB">
        <w:rPr>
          <w:lang w:val="pt-PT"/>
        </w:rPr>
        <w:t xml:space="preserve">, nem em nome </w:t>
      </w:r>
      <w:r w:rsidR="001448C9">
        <w:rPr>
          <w:lang w:val="pt-PT"/>
        </w:rPr>
        <w:t>própri</w:t>
      </w:r>
      <w:r w:rsidR="00444EDB">
        <w:rPr>
          <w:lang w:val="pt-PT"/>
        </w:rPr>
        <w:t>o</w:t>
      </w:r>
      <w:r>
        <w:rPr>
          <w:lang w:val="pt-PT"/>
        </w:rPr>
        <w:t>.</w:t>
      </w:r>
      <w:r w:rsidR="00B934C3">
        <w:rPr>
          <w:lang w:val="pt-PT"/>
        </w:rPr>
        <w:t xml:space="preserve"> </w:t>
      </w:r>
      <w:r w:rsidR="006C474B">
        <w:rPr>
          <w:lang w:val="pt-PT"/>
        </w:rPr>
        <w:t>A defesa própria é impedida n</w:t>
      </w:r>
      <w:r>
        <w:rPr>
          <w:lang w:val="pt-PT"/>
        </w:rPr>
        <w:t xml:space="preserve">os termos da prática </w:t>
      </w:r>
      <w:r w:rsidR="001448C9">
        <w:rPr>
          <w:lang w:val="pt-PT"/>
        </w:rPr>
        <w:t xml:space="preserve">mantida pelos tribunais portugueses e </w:t>
      </w:r>
      <w:r>
        <w:rPr>
          <w:lang w:val="pt-PT"/>
        </w:rPr>
        <w:t xml:space="preserve">violadora da Convenção Europeia dos Direitos do Homem, prática suportada por Acórdão do Tribunal Constitucional que traduz violação </w:t>
      </w:r>
      <w:r w:rsidR="00201A6F">
        <w:rPr>
          <w:lang w:val="pt-PT"/>
        </w:rPr>
        <w:t xml:space="preserve">nítida </w:t>
      </w:r>
      <w:r>
        <w:rPr>
          <w:lang w:val="pt-PT"/>
        </w:rPr>
        <w:t>do art. 17</w:t>
      </w:r>
      <w:r w:rsidR="001448C9">
        <w:rPr>
          <w:lang w:val="pt-PT"/>
        </w:rPr>
        <w:t>º</w:t>
      </w:r>
      <w:r>
        <w:rPr>
          <w:lang w:val="pt-PT"/>
        </w:rPr>
        <w:t xml:space="preserve"> da Convenção</w:t>
      </w:r>
      <w:r w:rsidR="001448C9">
        <w:rPr>
          <w:lang w:val="pt-PT"/>
        </w:rPr>
        <w:t>. O</w:t>
      </w:r>
      <w:r>
        <w:rPr>
          <w:lang w:val="pt-PT"/>
        </w:rPr>
        <w:t>s advogados arguidos não podem assegurar a sua própria defesa, assim se ampliando os incómodo</w:t>
      </w:r>
      <w:r w:rsidR="001448C9">
        <w:rPr>
          <w:lang w:val="pt-PT"/>
        </w:rPr>
        <w:t>s que hão-de sofrer em processo e assim se melhorando a eficácia da intimidação</w:t>
      </w:r>
      <w:r w:rsidR="006C474B">
        <w:rPr>
          <w:lang w:val="pt-PT"/>
        </w:rPr>
        <w:t xml:space="preserve"> quando seja caso de os intimidarem assim (e não é raro).</w:t>
      </w:r>
      <w:r w:rsidR="00A80F33">
        <w:rPr>
          <w:lang w:val="pt-PT"/>
        </w:rPr>
        <w:t xml:space="preserve"> Este foi um desses casos.</w:t>
      </w:r>
    </w:p>
    <w:p w:rsidR="001608CF" w:rsidRDefault="002F5874" w:rsidP="00634B9A">
      <w:pPr>
        <w:jc w:val="both"/>
        <w:rPr>
          <w:lang w:val="pt-PT"/>
        </w:rPr>
      </w:pPr>
      <w:r>
        <w:rPr>
          <w:lang w:val="pt-PT"/>
        </w:rPr>
        <w:lastRenderedPageBreak/>
        <w:t>Os polícias assistentes pediam trinta mil euros de indemnização.</w:t>
      </w:r>
      <w:r w:rsidR="003670A3">
        <w:rPr>
          <w:lang w:val="pt-PT"/>
        </w:rPr>
        <w:t xml:space="preserve"> </w:t>
      </w:r>
      <w:r w:rsidR="001608CF">
        <w:rPr>
          <w:lang w:val="pt-PT"/>
        </w:rPr>
        <w:t>Sublinha-se</w:t>
      </w:r>
      <w:r w:rsidR="00782659">
        <w:rPr>
          <w:lang w:val="pt-PT"/>
        </w:rPr>
        <w:t>,</w:t>
      </w:r>
      <w:r w:rsidR="001608CF">
        <w:rPr>
          <w:lang w:val="pt-PT"/>
        </w:rPr>
        <w:t xml:space="preserve"> na sentença, como ilustração do absurdo da situação:</w:t>
      </w:r>
    </w:p>
    <w:p w:rsidR="001608CF" w:rsidRDefault="00AD19DA" w:rsidP="00F366FE">
      <w:pPr>
        <w:ind w:left="1416" w:firstLine="708"/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3962400" cy="49244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E" w:rsidRDefault="00F366FE" w:rsidP="00F366FE">
      <w:pPr>
        <w:jc w:val="both"/>
        <w:rPr>
          <w:lang w:val="pt-PT"/>
        </w:rPr>
      </w:pPr>
      <w:r>
        <w:rPr>
          <w:lang w:val="pt-PT"/>
        </w:rPr>
        <w:t>O Bastonário Marinho Pinto apresentou depoimento escrito, que divulgamos em anexo. Destacamos aqui a seguinte passagem:</w:t>
      </w:r>
    </w:p>
    <w:p w:rsidR="00F366FE" w:rsidRDefault="00AD19DA" w:rsidP="00F366FE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4743450" cy="1190625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57" w:rsidRPr="005554EA" w:rsidRDefault="00722F57" w:rsidP="005554EA">
      <w:pPr>
        <w:pStyle w:val="Textodecomentrio"/>
        <w:jc w:val="both"/>
        <w:rPr>
          <w:sz w:val="22"/>
          <w:szCs w:val="22"/>
          <w:lang w:val="pt-PT"/>
        </w:rPr>
      </w:pPr>
      <w:r w:rsidRPr="005554EA">
        <w:rPr>
          <w:sz w:val="22"/>
          <w:szCs w:val="22"/>
          <w:lang w:val="pt-PT"/>
        </w:rPr>
        <w:t>Portanto e em síntese, é possível arrastar um processo criminal para incomodar seja quem for durante cinco anos ou mais, sem que o queixoso tenha alguma coisa a ver com os factos em discussão</w:t>
      </w:r>
      <w:r w:rsidR="005554EA" w:rsidRPr="005554EA">
        <w:rPr>
          <w:sz w:val="22"/>
          <w:szCs w:val="22"/>
          <w:lang w:val="pt-PT"/>
        </w:rPr>
        <w:t xml:space="preserve"> (não conseguindo sequer explicar porque motivo se sente </w:t>
      </w:r>
      <w:proofErr w:type="gramStart"/>
      <w:r w:rsidR="005554EA" w:rsidRPr="005554EA">
        <w:rPr>
          <w:sz w:val="22"/>
          <w:szCs w:val="22"/>
          <w:lang w:val="pt-PT"/>
        </w:rPr>
        <w:t xml:space="preserve">visado) </w:t>
      </w:r>
      <w:r w:rsidRPr="005554EA">
        <w:rPr>
          <w:sz w:val="22"/>
          <w:szCs w:val="22"/>
          <w:lang w:val="pt-PT"/>
        </w:rPr>
        <w:t>,</w:t>
      </w:r>
      <w:proofErr w:type="gramEnd"/>
      <w:r w:rsidRPr="005554EA">
        <w:rPr>
          <w:sz w:val="22"/>
          <w:szCs w:val="22"/>
          <w:lang w:val="pt-PT"/>
        </w:rPr>
        <w:t xml:space="preserve"> apresentando queixa fora de todos os prazos, queixando-se</w:t>
      </w:r>
      <w:r w:rsidR="00382301" w:rsidRPr="005554EA">
        <w:rPr>
          <w:sz w:val="22"/>
          <w:szCs w:val="22"/>
          <w:lang w:val="pt-PT"/>
        </w:rPr>
        <w:t>, para cúmulo,</w:t>
      </w:r>
      <w:r w:rsidRPr="005554EA">
        <w:rPr>
          <w:sz w:val="22"/>
          <w:szCs w:val="22"/>
          <w:lang w:val="pt-PT"/>
        </w:rPr>
        <w:t xml:space="preserve"> dos efeitos </w:t>
      </w:r>
      <w:r w:rsidR="00382301" w:rsidRPr="005554EA">
        <w:rPr>
          <w:sz w:val="22"/>
          <w:szCs w:val="22"/>
          <w:lang w:val="pt-PT"/>
        </w:rPr>
        <w:t xml:space="preserve">do </w:t>
      </w:r>
      <w:r w:rsidRPr="005554EA">
        <w:rPr>
          <w:sz w:val="22"/>
          <w:szCs w:val="22"/>
          <w:lang w:val="pt-PT"/>
        </w:rPr>
        <w:t xml:space="preserve">conhecimento dos pretensos factos </w:t>
      </w:r>
      <w:r w:rsidR="00382301" w:rsidRPr="005554EA">
        <w:rPr>
          <w:sz w:val="22"/>
          <w:szCs w:val="22"/>
          <w:lang w:val="pt-PT"/>
        </w:rPr>
        <w:t xml:space="preserve">em âmbito profissional, </w:t>
      </w:r>
      <w:r w:rsidRPr="005554EA">
        <w:rPr>
          <w:sz w:val="22"/>
          <w:szCs w:val="22"/>
          <w:lang w:val="pt-PT"/>
        </w:rPr>
        <w:t>cuja divulgação foi feita pelo</w:t>
      </w:r>
      <w:r w:rsidR="000F17C9" w:rsidRPr="005554EA">
        <w:rPr>
          <w:sz w:val="22"/>
          <w:szCs w:val="22"/>
          <w:lang w:val="pt-PT"/>
        </w:rPr>
        <w:t xml:space="preserve"> próprio</w:t>
      </w:r>
      <w:r w:rsidR="00382301" w:rsidRPr="005554EA">
        <w:rPr>
          <w:sz w:val="22"/>
          <w:szCs w:val="22"/>
          <w:lang w:val="pt-PT"/>
        </w:rPr>
        <w:t xml:space="preserve"> entre os colegas. </w:t>
      </w:r>
    </w:p>
    <w:p w:rsidR="00382301" w:rsidRDefault="00382301" w:rsidP="00634B9A">
      <w:pPr>
        <w:jc w:val="both"/>
        <w:rPr>
          <w:lang w:val="pt-PT"/>
        </w:rPr>
      </w:pPr>
      <w:r>
        <w:rPr>
          <w:lang w:val="pt-PT"/>
        </w:rPr>
        <w:t>Assim sendo as coisas, o arbítrio que permitiu esta</w:t>
      </w:r>
      <w:r w:rsidR="00F366FE">
        <w:rPr>
          <w:lang w:val="pt-PT"/>
        </w:rPr>
        <w:t xml:space="preserve"> disparatada marcha processual –</w:t>
      </w:r>
      <w:r>
        <w:rPr>
          <w:lang w:val="pt-PT"/>
        </w:rPr>
        <w:t xml:space="preserve"> com as restrições correspondentes à liberdade dos arguidos – podia </w:t>
      </w:r>
      <w:r w:rsidR="004E2A04">
        <w:rPr>
          <w:lang w:val="pt-PT"/>
        </w:rPr>
        <w:t xml:space="preserve">ser condição suficiente para a condenação, que certamente os assistentes esperavam (não obstante o chorrilho de disparates gritante) ou não se teriam metido em tal aventura. </w:t>
      </w:r>
    </w:p>
    <w:p w:rsidR="001F7390" w:rsidRDefault="00815DBC" w:rsidP="00634B9A">
      <w:pPr>
        <w:jc w:val="both"/>
        <w:rPr>
          <w:lang w:val="pt-PT"/>
        </w:rPr>
      </w:pPr>
      <w:r>
        <w:rPr>
          <w:lang w:val="pt-PT"/>
        </w:rPr>
        <w:t>Outro sublinhado é imprescindível: do ponto de vista do tribunal de Instr</w:t>
      </w:r>
      <w:r w:rsidR="00782659">
        <w:rPr>
          <w:lang w:val="pt-PT"/>
        </w:rPr>
        <w:t>ução e do MP em I</w:t>
      </w:r>
      <w:r>
        <w:rPr>
          <w:lang w:val="pt-PT"/>
        </w:rPr>
        <w:t>nquérito e na Instrução era, com isto, muito provável a condenação criminal – porque só assim se deve mandar</w:t>
      </w:r>
      <w:r w:rsidR="001F7390" w:rsidRPr="001F7390">
        <w:rPr>
          <w:lang w:val="pt-PT"/>
        </w:rPr>
        <w:t xml:space="preserve"> </w:t>
      </w:r>
      <w:r w:rsidR="001F7390">
        <w:rPr>
          <w:lang w:val="pt-PT"/>
        </w:rPr>
        <w:t>um caso a julgamento</w:t>
      </w:r>
      <w:r w:rsidR="00C21CA7">
        <w:rPr>
          <w:lang w:val="pt-PT"/>
        </w:rPr>
        <w:t>,</w:t>
      </w:r>
      <w:r>
        <w:rPr>
          <w:lang w:val="pt-PT"/>
        </w:rPr>
        <w:t xml:space="preserve"> </w:t>
      </w:r>
      <w:r w:rsidR="00C21CA7">
        <w:rPr>
          <w:lang w:val="pt-PT"/>
        </w:rPr>
        <w:t>de acordo com a interpretação unânime da Lei</w:t>
      </w:r>
      <w:r w:rsidR="001F7390">
        <w:rPr>
          <w:lang w:val="pt-PT"/>
        </w:rPr>
        <w:t xml:space="preserve"> </w:t>
      </w:r>
      <w:r w:rsidR="00C21CA7">
        <w:rPr>
          <w:lang w:val="pt-PT"/>
        </w:rPr>
        <w:t>– e, mais</w:t>
      </w:r>
      <w:r w:rsidR="001F7390">
        <w:rPr>
          <w:lang w:val="pt-PT"/>
        </w:rPr>
        <w:t xml:space="preserve"> </w:t>
      </w:r>
      <w:r w:rsidR="00C21CA7">
        <w:rPr>
          <w:lang w:val="pt-PT"/>
        </w:rPr>
        <w:t>pareceu</w:t>
      </w:r>
      <w:r w:rsidR="001F7390">
        <w:rPr>
          <w:lang w:val="pt-PT"/>
        </w:rPr>
        <w:t xml:space="preserve"> àqueles magistrados</w:t>
      </w:r>
      <w:r w:rsidR="00C21CA7">
        <w:rPr>
          <w:lang w:val="pt-PT"/>
        </w:rPr>
        <w:t xml:space="preserve">, até, que homens normais podem </w:t>
      </w:r>
      <w:r w:rsidR="00AE2F09">
        <w:rPr>
          <w:lang w:val="pt-PT"/>
        </w:rPr>
        <w:t xml:space="preserve">e devem </w:t>
      </w:r>
      <w:r w:rsidR="00C21CA7">
        <w:rPr>
          <w:lang w:val="pt-PT"/>
        </w:rPr>
        <w:t>ouvir</w:t>
      </w:r>
      <w:r w:rsidR="00782659">
        <w:rPr>
          <w:lang w:val="pt-PT"/>
        </w:rPr>
        <w:t>,</w:t>
      </w:r>
      <w:r w:rsidR="00C21CA7">
        <w:rPr>
          <w:lang w:val="pt-PT"/>
        </w:rPr>
        <w:t xml:space="preserve"> </w:t>
      </w:r>
      <w:r w:rsidR="00AE2F09">
        <w:rPr>
          <w:lang w:val="pt-PT"/>
        </w:rPr>
        <w:t>s</w:t>
      </w:r>
      <w:r w:rsidR="00782659">
        <w:rPr>
          <w:lang w:val="pt-PT"/>
        </w:rPr>
        <w:t>em reagir,</w:t>
      </w:r>
      <w:r w:rsidR="00AE2F09">
        <w:rPr>
          <w:lang w:val="pt-PT"/>
        </w:rPr>
        <w:t xml:space="preserve"> </w:t>
      </w:r>
      <w:r w:rsidR="00C21CA7">
        <w:rPr>
          <w:lang w:val="pt-PT"/>
        </w:rPr>
        <w:t xml:space="preserve">uma mulher dizer </w:t>
      </w:r>
    </w:p>
    <w:p w:rsidR="001F7390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a capturaram com ultraje ao pudor e abuso sexual, estando ela grávida, sem nada exibirem como identificação a não ser uma pistola, </w:t>
      </w:r>
    </w:p>
    <w:p w:rsidR="001F7390" w:rsidRDefault="00AE2F09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o mandado chegou seis horas depois da captura, </w:t>
      </w:r>
    </w:p>
    <w:p w:rsidR="001F7390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 w:rsidR="00AE2F09">
        <w:rPr>
          <w:lang w:val="pt-PT"/>
        </w:rPr>
        <w:t>,</w:t>
      </w:r>
      <w:r>
        <w:rPr>
          <w:lang w:val="pt-PT"/>
        </w:rPr>
        <w:t xml:space="preserve"> em contexto carcerário, foi interrogada com queimaduras de cigarro na cabeça (exibindo uma pelada que dizia resultar disso)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fora alvo de pressão para abortar,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ou</w:t>
      </w:r>
      <w:proofErr w:type="gramEnd"/>
      <w:r>
        <w:rPr>
          <w:lang w:val="pt-PT"/>
        </w:rPr>
        <w:t xml:space="preserve"> para dar a criança para adopção,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foi posta em trabalho de parto amarrada</w:t>
      </w:r>
      <w:r w:rsidR="00774DCF">
        <w:rPr>
          <w:lang w:val="pt-PT"/>
        </w:rPr>
        <w:t>,</w:t>
      </w:r>
      <w:r>
        <w:rPr>
          <w:lang w:val="pt-PT"/>
        </w:rPr>
        <w:t xml:space="preserve"> por ser considerada perigosa, </w:t>
      </w:r>
    </w:p>
    <w:p w:rsidR="00774DCF" w:rsidRDefault="00C21CA7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foi submetida a medicação psiquiátrica, não pedida</w:t>
      </w:r>
      <w:r w:rsidR="00BB08AF">
        <w:rPr>
          <w:lang w:val="pt-PT"/>
        </w:rPr>
        <w:t>, tomada sob constrangimento</w:t>
      </w:r>
      <w:r>
        <w:rPr>
          <w:lang w:val="pt-PT"/>
        </w:rPr>
        <w:t xml:space="preserve"> e com dosagem tão intensa que a criança ao nascer parecia morta</w:t>
      </w:r>
      <w:r w:rsidR="00AE2F09">
        <w:rPr>
          <w:lang w:val="pt-PT"/>
        </w:rPr>
        <w:t xml:space="preserve">, </w:t>
      </w:r>
    </w:p>
    <w:p w:rsidR="00774DCF" w:rsidRDefault="00AE2F09" w:rsidP="00774DCF">
      <w:pPr>
        <w:numPr>
          <w:ilvl w:val="0"/>
          <w:numId w:val="1"/>
        </w:numPr>
        <w:jc w:val="both"/>
        <w:rPr>
          <w:lang w:val="pt-PT"/>
        </w:rPr>
      </w:pPr>
      <w:proofErr w:type="gramStart"/>
      <w:r>
        <w:rPr>
          <w:lang w:val="pt-PT"/>
        </w:rPr>
        <w:t>que</w:t>
      </w:r>
      <w:proofErr w:type="gramEnd"/>
      <w:r>
        <w:rPr>
          <w:lang w:val="pt-PT"/>
        </w:rPr>
        <w:t xml:space="preserve"> lhe extorquiram trinta mil euros para uma defesa que nunca ocorreu, montante pago em notas, sem recibo e no parque de estacionamento da cadeia, por exigência do advogado. </w:t>
      </w:r>
    </w:p>
    <w:p w:rsidR="00815DBC" w:rsidRDefault="00AE2F09" w:rsidP="00634B9A">
      <w:pPr>
        <w:jc w:val="both"/>
        <w:rPr>
          <w:lang w:val="pt-PT"/>
        </w:rPr>
      </w:pPr>
      <w:r>
        <w:rPr>
          <w:lang w:val="pt-PT"/>
        </w:rPr>
        <w:t xml:space="preserve">Um homem normal deve pois ouvir estas coisas </w:t>
      </w:r>
      <w:proofErr w:type="spellStart"/>
      <w:r w:rsidRPr="00E62A3B">
        <w:rPr>
          <w:i/>
          <w:lang w:val="pt-PT"/>
        </w:rPr>
        <w:t>perinde</w:t>
      </w:r>
      <w:proofErr w:type="spellEnd"/>
      <w:r w:rsidRPr="00E62A3B">
        <w:rPr>
          <w:i/>
          <w:lang w:val="pt-PT"/>
        </w:rPr>
        <w:t xml:space="preserve"> </w:t>
      </w:r>
      <w:proofErr w:type="spellStart"/>
      <w:r w:rsidRPr="00E62A3B">
        <w:rPr>
          <w:i/>
          <w:lang w:val="pt-PT"/>
        </w:rPr>
        <w:t>ac</w:t>
      </w:r>
      <w:proofErr w:type="spellEnd"/>
      <w:r w:rsidRPr="00E62A3B">
        <w:rPr>
          <w:i/>
          <w:lang w:val="pt-PT"/>
        </w:rPr>
        <w:t xml:space="preserve"> </w:t>
      </w:r>
      <w:proofErr w:type="spellStart"/>
      <w:r w:rsidRPr="00E62A3B">
        <w:rPr>
          <w:i/>
          <w:lang w:val="pt-PT"/>
        </w:rPr>
        <w:t>cadaver</w:t>
      </w:r>
      <w:proofErr w:type="spellEnd"/>
      <w:r>
        <w:rPr>
          <w:lang w:val="pt-PT"/>
        </w:rPr>
        <w:t>,</w:t>
      </w:r>
      <w:r w:rsidR="00E62A3B">
        <w:rPr>
          <w:lang w:val="pt-PT"/>
        </w:rPr>
        <w:t xml:space="preserve"> (</w:t>
      </w:r>
      <w:r>
        <w:rPr>
          <w:lang w:val="pt-PT"/>
        </w:rPr>
        <w:t>com a passividade de um cadáver</w:t>
      </w:r>
      <w:r w:rsidR="00E62A3B">
        <w:rPr>
          <w:lang w:val="pt-PT"/>
        </w:rPr>
        <w:t>)</w:t>
      </w:r>
      <w:r w:rsidR="00AE735F">
        <w:rPr>
          <w:lang w:val="pt-PT"/>
        </w:rPr>
        <w:t>. Por ser essa a concepção de normalidade da Procuradoria que aqui acusou e do Tribunal de Instrução que aqui proferiu a pronúncia.</w:t>
      </w:r>
      <w:r w:rsidR="00774DCF">
        <w:rPr>
          <w:lang w:val="pt-PT"/>
        </w:rPr>
        <w:t xml:space="preserve"> </w:t>
      </w:r>
    </w:p>
    <w:p w:rsidR="00AE735F" w:rsidRDefault="00AE735F" w:rsidP="00634B9A">
      <w:pPr>
        <w:jc w:val="both"/>
        <w:rPr>
          <w:lang w:val="pt-PT"/>
        </w:rPr>
      </w:pPr>
      <w:r>
        <w:rPr>
          <w:lang w:val="pt-PT"/>
        </w:rPr>
        <w:t>Essa concepção de normalidade, pelos vistos, também é a de quem nada investigou quanto à matéria em referência</w:t>
      </w:r>
      <w:r w:rsidR="008A73F3">
        <w:rPr>
          <w:lang w:val="pt-PT"/>
        </w:rPr>
        <w:t>,</w:t>
      </w:r>
      <w:r>
        <w:rPr>
          <w:lang w:val="pt-PT"/>
        </w:rPr>
        <w:t xml:space="preserve"> com clara violação das incumbências estritas do Estado a quem incumbe o apuramento rigoroso das condições materiais de reclusão diante de qualquer queixa.</w:t>
      </w:r>
      <w:r w:rsidR="008A73F3">
        <w:rPr>
          <w:lang w:val="pt-PT"/>
        </w:rPr>
        <w:t xml:space="preserve"> Possa isto servir para atestar do grau de afastamento destas organizações institucionais quanto a qualquer normalidade ponderável.</w:t>
      </w:r>
      <w:r w:rsidR="003D434E">
        <w:rPr>
          <w:lang w:val="pt-PT"/>
        </w:rPr>
        <w:t xml:space="preserve"> José Preto deu conhecimento dos factos destas queixas nos autos, tanto na primeira instância, como no Supremo Tribunal de Justiça. Ninguém entendeu que isso devesse ser investigado. Afinal de contas é apenas a vida de três pessoas (sendo uma delas ainda criança). Nada de especialmente significativo do ponto de vista institucional, parece. </w:t>
      </w:r>
    </w:p>
    <w:p w:rsidR="00BB08AF" w:rsidRDefault="00BB08AF" w:rsidP="00634B9A">
      <w:pPr>
        <w:jc w:val="both"/>
        <w:rPr>
          <w:lang w:val="pt-PT"/>
        </w:rPr>
      </w:pPr>
      <w:r>
        <w:rPr>
          <w:lang w:val="pt-PT"/>
        </w:rPr>
        <w:t xml:space="preserve">Esta concepção de normalidade também foi a das estruturas que deixaram um defensor sob constrangimento processual absolutamente ilícito e que, aliás, no tribunal onde assumira a defesa por mais ninguém se disponibilizar a fazê-lo, a 500km de casa, viu o MP a tentar </w:t>
      </w:r>
      <w:r w:rsidR="009C1FC9">
        <w:rPr>
          <w:lang w:val="pt-PT"/>
        </w:rPr>
        <w:t xml:space="preserve">fazê-lo perseguir </w:t>
      </w:r>
      <w:r>
        <w:rPr>
          <w:lang w:val="pt-PT"/>
        </w:rPr>
        <w:t>em razão das arguições de defesa (como a imprestabilidade das traduções, por exemplo)</w:t>
      </w:r>
      <w:r w:rsidR="008C5344">
        <w:rPr>
          <w:lang w:val="pt-PT"/>
        </w:rPr>
        <w:t xml:space="preserve">, com a angústia de ver o arguido </w:t>
      </w:r>
      <w:r w:rsidR="009C1FC9">
        <w:rPr>
          <w:lang w:val="pt-PT"/>
        </w:rPr>
        <w:t xml:space="preserve">prostrado </w:t>
      </w:r>
      <w:r w:rsidR="008C5344">
        <w:rPr>
          <w:lang w:val="pt-PT"/>
        </w:rPr>
        <w:t xml:space="preserve">no banco </w:t>
      </w:r>
      <w:r w:rsidR="009C1FC9">
        <w:rPr>
          <w:lang w:val="pt-PT"/>
        </w:rPr>
        <w:t xml:space="preserve">dos Réus </w:t>
      </w:r>
      <w:r w:rsidR="008C5344">
        <w:rPr>
          <w:lang w:val="pt-PT"/>
        </w:rPr>
        <w:t>por privação da insulina que lhe permitiria manter-se acordado e a arguida enfrascada em medicação que a deixava também inerte</w:t>
      </w:r>
      <w:r w:rsidR="009C1FC9">
        <w:rPr>
          <w:lang w:val="pt-PT"/>
        </w:rPr>
        <w:t xml:space="preserve">; um defensor, </w:t>
      </w:r>
      <w:r w:rsidR="008C5344">
        <w:rPr>
          <w:lang w:val="pt-PT"/>
        </w:rPr>
        <w:t xml:space="preserve">nestas condições, é </w:t>
      </w:r>
      <w:r w:rsidR="009C1FC9">
        <w:rPr>
          <w:lang w:val="pt-PT"/>
        </w:rPr>
        <w:t xml:space="preserve">para cúmulo </w:t>
      </w:r>
      <w:r w:rsidR="008C5344">
        <w:rPr>
          <w:lang w:val="pt-PT"/>
        </w:rPr>
        <w:t>alvo d</w:t>
      </w:r>
      <w:r w:rsidR="009C1FC9">
        <w:rPr>
          <w:lang w:val="pt-PT"/>
        </w:rPr>
        <w:t xml:space="preserve">o que aparece objectivamente como </w:t>
      </w:r>
      <w:r w:rsidR="008C5344">
        <w:rPr>
          <w:lang w:val="pt-PT"/>
        </w:rPr>
        <w:t>uma conspiração do tribunal</w:t>
      </w:r>
      <w:r w:rsidR="009C1FC9">
        <w:rPr>
          <w:lang w:val="pt-PT"/>
        </w:rPr>
        <w:t xml:space="preserve">, (será em todo o caso coisa que disso se não distingue), </w:t>
      </w:r>
      <w:r w:rsidR="008C5344">
        <w:rPr>
          <w:lang w:val="pt-PT"/>
        </w:rPr>
        <w:t xml:space="preserve">porque a secretaria também </w:t>
      </w:r>
      <w:r w:rsidR="009C1FC9">
        <w:rPr>
          <w:lang w:val="pt-PT"/>
        </w:rPr>
        <w:t>é tribunal, factos</w:t>
      </w:r>
      <w:r w:rsidR="008C5344">
        <w:rPr>
          <w:lang w:val="pt-PT"/>
        </w:rPr>
        <w:t xml:space="preserve"> de que vem a saber seis anos depois, secretaria essa que se esforçava, parece, por obter uma queixa-crime contra o defensor dando elementos do</w:t>
      </w:r>
      <w:r w:rsidR="00BF3C97">
        <w:rPr>
          <w:lang w:val="pt-PT"/>
        </w:rPr>
        <w:t>s autos</w:t>
      </w:r>
      <w:r w:rsidR="008C5344">
        <w:rPr>
          <w:lang w:val="pt-PT"/>
        </w:rPr>
        <w:t xml:space="preserve"> aos polícias</w:t>
      </w:r>
      <w:r w:rsidR="004F27AE">
        <w:rPr>
          <w:lang w:val="pt-PT"/>
        </w:rPr>
        <w:t>,</w:t>
      </w:r>
      <w:r w:rsidR="008C5344">
        <w:rPr>
          <w:lang w:val="pt-PT"/>
        </w:rPr>
        <w:t xml:space="preserve"> que ali eram testemunhas</w:t>
      </w:r>
      <w:r w:rsidR="004F27AE">
        <w:rPr>
          <w:lang w:val="pt-PT"/>
        </w:rPr>
        <w:t>,</w:t>
      </w:r>
      <w:r w:rsidR="008C5344">
        <w:rPr>
          <w:lang w:val="pt-PT"/>
        </w:rPr>
        <w:t xml:space="preserve"> para que processassem.</w:t>
      </w:r>
      <w:r w:rsidR="00DA4763">
        <w:rPr>
          <w:lang w:val="pt-PT"/>
        </w:rPr>
        <w:t xml:space="preserve"> </w:t>
      </w:r>
      <w:r w:rsidR="008C5344">
        <w:rPr>
          <w:lang w:val="pt-PT"/>
        </w:rPr>
        <w:t xml:space="preserve">  </w:t>
      </w:r>
    </w:p>
    <w:p w:rsidR="00060475" w:rsidRDefault="00060475" w:rsidP="00634B9A">
      <w:pPr>
        <w:jc w:val="both"/>
        <w:rPr>
          <w:lang w:val="pt-PT"/>
        </w:rPr>
      </w:pPr>
      <w:r>
        <w:rPr>
          <w:lang w:val="pt-PT"/>
        </w:rPr>
        <w:t>O julgamento de Rosa Fito e Francisco Colmenar – isso é nítido agora – nunca existiu. Porque esta conduta não é própria de um tribunal conforme às exigências do art. 6º da Convenção Europeia dos Direitos do Homem.</w:t>
      </w:r>
      <w:r w:rsidR="00DA4763">
        <w:rPr>
          <w:lang w:val="pt-PT"/>
        </w:rPr>
        <w:t xml:space="preserve"> </w:t>
      </w:r>
    </w:p>
    <w:p w:rsidR="00F366FE" w:rsidRDefault="00F366FE" w:rsidP="00634B9A">
      <w:pPr>
        <w:jc w:val="both"/>
        <w:rPr>
          <w:lang w:val="pt-PT"/>
        </w:rPr>
      </w:pPr>
      <w:r>
        <w:rPr>
          <w:lang w:val="pt-PT"/>
        </w:rPr>
        <w:t xml:space="preserve">A propósito, diz o depoimento do Bastonário da Ordem dos Advogados que recebeu a carta em apreço: </w:t>
      </w:r>
    </w:p>
    <w:p w:rsidR="00F366FE" w:rsidRDefault="00AD19DA" w:rsidP="00F366FE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>
            <wp:extent cx="4600575" cy="1057275"/>
            <wp:effectExtent l="1905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EA" w:rsidRDefault="00F366FE" w:rsidP="00634B9A">
      <w:pPr>
        <w:jc w:val="both"/>
        <w:rPr>
          <w:lang w:val="pt-PT"/>
        </w:rPr>
      </w:pPr>
      <w:r>
        <w:rPr>
          <w:lang w:val="pt-PT"/>
        </w:rPr>
        <w:t>Quando s</w:t>
      </w:r>
      <w:r w:rsidR="001276F5">
        <w:rPr>
          <w:lang w:val="pt-PT"/>
        </w:rPr>
        <w:t>erá esta a</w:t>
      </w:r>
      <w:r w:rsidR="008C5344">
        <w:rPr>
          <w:lang w:val="pt-PT"/>
        </w:rPr>
        <w:t xml:space="preserve"> concepção de normalidade vigente</w:t>
      </w:r>
      <w:r w:rsidR="001276F5">
        <w:rPr>
          <w:lang w:val="pt-PT"/>
        </w:rPr>
        <w:t xml:space="preserve">? Nestes autos e até </w:t>
      </w:r>
      <w:r w:rsidR="00DA4763">
        <w:rPr>
          <w:lang w:val="pt-PT"/>
        </w:rPr>
        <w:t>à</w:t>
      </w:r>
      <w:r w:rsidR="001276F5">
        <w:rPr>
          <w:lang w:val="pt-PT"/>
        </w:rPr>
        <w:t xml:space="preserve"> sentença a resposta processual e formal foi a </w:t>
      </w:r>
      <w:r>
        <w:rPr>
          <w:lang w:val="pt-PT"/>
        </w:rPr>
        <w:t>negativa</w:t>
      </w:r>
      <w:r w:rsidR="001276F5">
        <w:rPr>
          <w:lang w:val="pt-PT"/>
        </w:rPr>
        <w:t xml:space="preserve">. </w:t>
      </w:r>
      <w:proofErr w:type="gramStart"/>
      <w:r w:rsidR="001276F5">
        <w:rPr>
          <w:lang w:val="pt-PT"/>
        </w:rPr>
        <w:t>Isso o subscreveram</w:t>
      </w:r>
      <w:proofErr w:type="gramEnd"/>
      <w:r w:rsidR="001276F5">
        <w:rPr>
          <w:lang w:val="pt-PT"/>
        </w:rPr>
        <w:t xml:space="preserve"> três magistrados, dois MP e um Juiz de Instrução, “em nome do povo”, para cúmulo. </w:t>
      </w:r>
      <w:r w:rsidR="005554EA" w:rsidRPr="00811F0C">
        <w:rPr>
          <w:lang w:val="pt-PT"/>
        </w:rPr>
        <w:t>A con</w:t>
      </w:r>
      <w:r w:rsidR="005554EA">
        <w:rPr>
          <w:lang w:val="pt-PT"/>
        </w:rPr>
        <w:t xml:space="preserve">cepção de normalidade vigente é </w:t>
      </w:r>
      <w:r w:rsidR="005554EA" w:rsidRPr="00811F0C">
        <w:rPr>
          <w:lang w:val="pt-PT"/>
        </w:rPr>
        <w:t>pois a oposta ao Direito</w:t>
      </w:r>
      <w:r w:rsidR="005554EA">
        <w:rPr>
          <w:lang w:val="pt-PT"/>
        </w:rPr>
        <w:t xml:space="preserve">. </w:t>
      </w:r>
    </w:p>
    <w:p w:rsidR="008C5344" w:rsidRDefault="001F35ED" w:rsidP="00634B9A">
      <w:pPr>
        <w:jc w:val="both"/>
        <w:rPr>
          <w:lang w:val="pt-PT"/>
        </w:rPr>
      </w:pPr>
      <w:r>
        <w:rPr>
          <w:lang w:val="pt-PT"/>
        </w:rPr>
        <w:t>Mas a repugnância que isto suscita é tanta</w:t>
      </w:r>
      <w:r w:rsidR="00060475">
        <w:rPr>
          <w:lang w:val="pt-PT"/>
        </w:rPr>
        <w:t>,</w:t>
      </w:r>
      <w:r>
        <w:rPr>
          <w:lang w:val="pt-PT"/>
        </w:rPr>
        <w:t xml:space="preserve"> que não resistimos a pedir a confirmação. É realmente assim, Senhora Procuradora Geral da República? E Senhora Ministra da Justiça, Senhora Presidente da Assembleia da República, Senhor Presidente da República, é realmente assim? </w:t>
      </w:r>
    </w:p>
    <w:p w:rsidR="00901793" w:rsidRDefault="008A73F3" w:rsidP="00634B9A">
      <w:pPr>
        <w:jc w:val="both"/>
        <w:rPr>
          <w:lang w:val="pt-PT"/>
        </w:rPr>
      </w:pPr>
      <w:r>
        <w:rPr>
          <w:lang w:val="pt-PT"/>
        </w:rPr>
        <w:t xml:space="preserve">A ACED agradece </w:t>
      </w:r>
      <w:r w:rsidR="00901793">
        <w:rPr>
          <w:lang w:val="pt-PT"/>
        </w:rPr>
        <w:t xml:space="preserve">o desempenho </w:t>
      </w:r>
      <w:r>
        <w:rPr>
          <w:lang w:val="pt-PT"/>
        </w:rPr>
        <w:t>à ilustre defensora dos seus dois militantes</w:t>
      </w:r>
      <w:r w:rsidR="00BF3C97">
        <w:rPr>
          <w:lang w:val="pt-PT"/>
        </w:rPr>
        <w:t xml:space="preserve"> nestes autos</w:t>
      </w:r>
      <w:r>
        <w:rPr>
          <w:lang w:val="pt-PT"/>
        </w:rPr>
        <w:t xml:space="preserve">. </w:t>
      </w:r>
      <w:r w:rsidR="00901793">
        <w:rPr>
          <w:lang w:val="pt-PT"/>
        </w:rPr>
        <w:t xml:space="preserve">Recorda com saudade a Dr.ª Carolina </w:t>
      </w:r>
      <w:proofErr w:type="spellStart"/>
      <w:r w:rsidR="00901793">
        <w:rPr>
          <w:lang w:val="pt-PT"/>
        </w:rPr>
        <w:t>Cipolli</w:t>
      </w:r>
      <w:proofErr w:type="spellEnd"/>
      <w:r w:rsidR="00901793">
        <w:rPr>
          <w:lang w:val="pt-PT"/>
        </w:rPr>
        <w:t xml:space="preserve"> </w:t>
      </w:r>
      <w:r w:rsidR="00BF3C97">
        <w:rPr>
          <w:lang w:val="pt-PT"/>
        </w:rPr>
        <w:t>Preto</w:t>
      </w:r>
      <w:r w:rsidR="00E13F09">
        <w:rPr>
          <w:lang w:val="pt-PT"/>
        </w:rPr>
        <w:t>, primeira defensora</w:t>
      </w:r>
      <w:r w:rsidR="00901793">
        <w:rPr>
          <w:lang w:val="pt-PT"/>
        </w:rPr>
        <w:t>. E r</w:t>
      </w:r>
      <w:r>
        <w:rPr>
          <w:lang w:val="pt-PT"/>
        </w:rPr>
        <w:t xml:space="preserve">egista que a Senhora Juiz de julgamento não aceitou </w:t>
      </w:r>
      <w:r w:rsidR="00126345">
        <w:rPr>
          <w:lang w:val="pt-PT"/>
        </w:rPr>
        <w:t xml:space="preserve">a sequência esperada. Decidindo como o impunha o Direito. </w:t>
      </w:r>
    </w:p>
    <w:p w:rsidR="006015A2" w:rsidRDefault="006015A2" w:rsidP="00634B9A">
      <w:pPr>
        <w:jc w:val="both"/>
        <w:rPr>
          <w:lang w:val="pt-PT"/>
        </w:rPr>
      </w:pPr>
      <w:r>
        <w:rPr>
          <w:lang w:val="pt-PT"/>
        </w:rPr>
        <w:t>A</w:t>
      </w:r>
      <w:r w:rsidR="00126345">
        <w:rPr>
          <w:lang w:val="pt-PT"/>
        </w:rPr>
        <w:t xml:space="preserve"> ACED a</w:t>
      </w:r>
      <w:r>
        <w:rPr>
          <w:lang w:val="pt-PT"/>
        </w:rPr>
        <w:t>presenta os seus votos de bom sucesso a Francisco Polo e Rosa Fito, recomendando-lhes que com os novos elemen</w:t>
      </w:r>
      <w:r w:rsidR="00126345">
        <w:rPr>
          <w:lang w:val="pt-PT"/>
        </w:rPr>
        <w:t xml:space="preserve">tos, agora integralmente claros, </w:t>
      </w:r>
      <w:r>
        <w:rPr>
          <w:lang w:val="pt-PT"/>
        </w:rPr>
        <w:t>processem o Estado Português junto dos Tribunais da Coroa de Espanha obtendo d</w:t>
      </w:r>
      <w:r w:rsidR="00126345">
        <w:rPr>
          <w:lang w:val="pt-PT"/>
        </w:rPr>
        <w:t xml:space="preserve">eles </w:t>
      </w:r>
      <w:r>
        <w:rPr>
          <w:lang w:val="pt-PT"/>
        </w:rPr>
        <w:t>a declaração de excepção de Ordem Pública quanto a uma sentença que emerge de tais anomalias e deve ser julgada insusceptível de reconhecimento</w:t>
      </w:r>
      <w:r w:rsidR="00126345">
        <w:rPr>
          <w:lang w:val="pt-PT"/>
        </w:rPr>
        <w:t xml:space="preserve"> em qualquer país europeu.</w:t>
      </w:r>
    </w:p>
    <w:p w:rsidR="003670A3" w:rsidRDefault="00E13F09" w:rsidP="00634B9A">
      <w:pPr>
        <w:jc w:val="both"/>
        <w:rPr>
          <w:lang w:val="pt-PT"/>
        </w:rPr>
      </w:pPr>
      <w:r>
        <w:rPr>
          <w:lang w:val="pt-PT"/>
        </w:rPr>
        <w:t>Recorda-se que José Pr</w:t>
      </w:r>
      <w:r w:rsidR="003670A3">
        <w:rPr>
          <w:lang w:val="pt-PT"/>
        </w:rPr>
        <w:t>eto declarou em audiência que desde 1987, quando recebeu a cédula</w:t>
      </w:r>
      <w:r>
        <w:rPr>
          <w:lang w:val="pt-PT"/>
        </w:rPr>
        <w:t xml:space="preserve"> profissional</w:t>
      </w:r>
      <w:r w:rsidR="003670A3">
        <w:rPr>
          <w:lang w:val="pt-PT"/>
        </w:rPr>
        <w:t>, não terá</w:t>
      </w:r>
      <w:r w:rsidR="004F27AE">
        <w:rPr>
          <w:lang w:val="pt-PT"/>
        </w:rPr>
        <w:t xml:space="preserve"> conhecido ano</w:t>
      </w:r>
      <w:r>
        <w:rPr>
          <w:lang w:val="pt-PT"/>
        </w:rPr>
        <w:t xml:space="preserve"> em que não teve pendentes processos </w:t>
      </w:r>
      <w:r w:rsidR="0038588C">
        <w:rPr>
          <w:lang w:val="pt-PT"/>
        </w:rPr>
        <w:t xml:space="preserve">com a natureza deste, </w:t>
      </w:r>
      <w:r>
        <w:rPr>
          <w:lang w:val="pt-PT"/>
        </w:rPr>
        <w:t xml:space="preserve">com escopo análogo e análoga consistência, confessando-se saturado. </w:t>
      </w:r>
    </w:p>
    <w:p w:rsidR="00901793" w:rsidRDefault="00901793" w:rsidP="00634B9A">
      <w:pPr>
        <w:jc w:val="both"/>
        <w:rPr>
          <w:lang w:val="pt-PT"/>
        </w:rPr>
      </w:pPr>
      <w:r>
        <w:rPr>
          <w:lang w:val="pt-PT"/>
        </w:rPr>
        <w:t xml:space="preserve">Vai cópia à Amnistia Internacional, à </w:t>
      </w:r>
      <w:proofErr w:type="spellStart"/>
      <w:r>
        <w:rPr>
          <w:lang w:val="pt-PT"/>
        </w:rPr>
        <w:t>State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Watch</w:t>
      </w:r>
      <w:proofErr w:type="spellEnd"/>
      <w:r>
        <w:rPr>
          <w:lang w:val="pt-PT"/>
        </w:rPr>
        <w:t xml:space="preserve">, à </w:t>
      </w:r>
      <w:proofErr w:type="spellStart"/>
      <w:r>
        <w:rPr>
          <w:lang w:val="pt-PT"/>
        </w:rPr>
        <w:t>Fair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Trials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International</w:t>
      </w:r>
      <w:proofErr w:type="spellEnd"/>
      <w:r w:rsidR="00782659">
        <w:rPr>
          <w:lang w:val="pt-PT"/>
        </w:rPr>
        <w:t xml:space="preserve"> e </w:t>
      </w:r>
      <w:proofErr w:type="gramStart"/>
      <w:r w:rsidR="00782659">
        <w:rPr>
          <w:lang w:val="pt-PT"/>
        </w:rPr>
        <w:t>à Comi</w:t>
      </w:r>
      <w:r w:rsidR="00021B3F">
        <w:rPr>
          <w:lang w:val="pt-PT"/>
        </w:rPr>
        <w:t>té Europeu</w:t>
      </w:r>
      <w:proofErr w:type="gramEnd"/>
      <w:r w:rsidR="00021B3F">
        <w:rPr>
          <w:lang w:val="pt-PT"/>
        </w:rPr>
        <w:t xml:space="preserve"> para a</w:t>
      </w:r>
      <w:r w:rsidR="00782659">
        <w:rPr>
          <w:lang w:val="pt-PT"/>
        </w:rPr>
        <w:t xml:space="preserve"> Prevenção </w:t>
      </w:r>
      <w:r w:rsidR="00021B3F">
        <w:rPr>
          <w:lang w:val="pt-PT"/>
        </w:rPr>
        <w:t>d</w:t>
      </w:r>
      <w:r w:rsidR="00782659">
        <w:rPr>
          <w:lang w:val="pt-PT"/>
        </w:rPr>
        <w:t xml:space="preserve">a Tortura </w:t>
      </w:r>
      <w:r w:rsidR="00126345">
        <w:rPr>
          <w:lang w:val="pt-PT"/>
        </w:rPr>
        <w:t>do Conselho da Europa, porque é preciso que se entenda o que esta “normalidade” pode fazer e tem feito a pessoas normais.</w:t>
      </w:r>
      <w:r w:rsidR="003670A3">
        <w:rPr>
          <w:lang w:val="pt-PT"/>
        </w:rPr>
        <w:t xml:space="preserve"> </w:t>
      </w:r>
    </w:p>
    <w:p w:rsidR="00021B3F" w:rsidRDefault="00021B3F" w:rsidP="00634B9A">
      <w:pPr>
        <w:jc w:val="both"/>
        <w:rPr>
          <w:lang w:val="pt-PT"/>
        </w:rPr>
      </w:pPr>
    </w:p>
    <w:p w:rsidR="00021B3F" w:rsidRDefault="00021B3F" w:rsidP="00021B3F">
      <w:pPr>
        <w:jc w:val="right"/>
        <w:rPr>
          <w:lang w:val="pt-PT"/>
        </w:rPr>
      </w:pPr>
      <w:r>
        <w:rPr>
          <w:lang w:val="pt-PT"/>
        </w:rPr>
        <w:t>A Direcção</w:t>
      </w:r>
    </w:p>
    <w:sectPr w:rsidR="00021B3F" w:rsidSect="00A83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E34"/>
    <w:multiLevelType w:val="hybridMultilevel"/>
    <w:tmpl w:val="2746057E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97F"/>
    <w:rsid w:val="000061CC"/>
    <w:rsid w:val="00021B3F"/>
    <w:rsid w:val="00044144"/>
    <w:rsid w:val="00060475"/>
    <w:rsid w:val="00063A87"/>
    <w:rsid w:val="00066791"/>
    <w:rsid w:val="000B42B5"/>
    <w:rsid w:val="000C78A8"/>
    <w:rsid w:val="000F17C9"/>
    <w:rsid w:val="00126345"/>
    <w:rsid w:val="001276F5"/>
    <w:rsid w:val="001448C9"/>
    <w:rsid w:val="001608CF"/>
    <w:rsid w:val="001F35ED"/>
    <w:rsid w:val="001F7390"/>
    <w:rsid w:val="00201A6F"/>
    <w:rsid w:val="00214FA6"/>
    <w:rsid w:val="002F5874"/>
    <w:rsid w:val="00301AA7"/>
    <w:rsid w:val="00331D8E"/>
    <w:rsid w:val="003670A3"/>
    <w:rsid w:val="00382301"/>
    <w:rsid w:val="0038588C"/>
    <w:rsid w:val="003C060B"/>
    <w:rsid w:val="003D434E"/>
    <w:rsid w:val="003D597F"/>
    <w:rsid w:val="003F7729"/>
    <w:rsid w:val="00444EDB"/>
    <w:rsid w:val="00466C6E"/>
    <w:rsid w:val="00490794"/>
    <w:rsid w:val="004B7D88"/>
    <w:rsid w:val="004D005C"/>
    <w:rsid w:val="004E2A04"/>
    <w:rsid w:val="004F27AE"/>
    <w:rsid w:val="00501BC9"/>
    <w:rsid w:val="0054744E"/>
    <w:rsid w:val="005554EA"/>
    <w:rsid w:val="005B5FC4"/>
    <w:rsid w:val="005C4C45"/>
    <w:rsid w:val="006015A2"/>
    <w:rsid w:val="00634B9A"/>
    <w:rsid w:val="006C474B"/>
    <w:rsid w:val="00722F57"/>
    <w:rsid w:val="00745572"/>
    <w:rsid w:val="00774DCF"/>
    <w:rsid w:val="00782659"/>
    <w:rsid w:val="007A298D"/>
    <w:rsid w:val="00811F0C"/>
    <w:rsid w:val="00815DBC"/>
    <w:rsid w:val="0082436C"/>
    <w:rsid w:val="008A73F3"/>
    <w:rsid w:val="008C5344"/>
    <w:rsid w:val="008E79CE"/>
    <w:rsid w:val="00901793"/>
    <w:rsid w:val="00946AF9"/>
    <w:rsid w:val="00981E6C"/>
    <w:rsid w:val="009C1FC9"/>
    <w:rsid w:val="009F2374"/>
    <w:rsid w:val="009F58FF"/>
    <w:rsid w:val="00A43015"/>
    <w:rsid w:val="00A80F33"/>
    <w:rsid w:val="00A834AC"/>
    <w:rsid w:val="00AD19DA"/>
    <w:rsid w:val="00AD2B39"/>
    <w:rsid w:val="00AE2F09"/>
    <w:rsid w:val="00AE735F"/>
    <w:rsid w:val="00B934C3"/>
    <w:rsid w:val="00BB08AF"/>
    <w:rsid w:val="00BF3C97"/>
    <w:rsid w:val="00C21CA7"/>
    <w:rsid w:val="00C32CAE"/>
    <w:rsid w:val="00C94250"/>
    <w:rsid w:val="00C95C8F"/>
    <w:rsid w:val="00D43503"/>
    <w:rsid w:val="00DA4763"/>
    <w:rsid w:val="00E13F09"/>
    <w:rsid w:val="00E22750"/>
    <w:rsid w:val="00E36F6C"/>
    <w:rsid w:val="00E46111"/>
    <w:rsid w:val="00E62A3B"/>
    <w:rsid w:val="00EB4058"/>
    <w:rsid w:val="00F2366D"/>
    <w:rsid w:val="00F366FE"/>
    <w:rsid w:val="00F63A0D"/>
    <w:rsid w:val="00F8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AC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1BC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01BC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01BC9"/>
    <w:rPr>
      <w:lang w:val="fr-FR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01BC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01BC9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1BC9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16D9-9181-4335-968A-60EC415D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1841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Preto</dc:creator>
  <cp:lastModifiedBy>apad</cp:lastModifiedBy>
  <cp:revision>2</cp:revision>
  <dcterms:created xsi:type="dcterms:W3CDTF">2014-03-20T18:59:00Z</dcterms:created>
  <dcterms:modified xsi:type="dcterms:W3CDTF">2014-03-20T18:59:00Z</dcterms:modified>
</cp:coreProperties>
</file>