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78" w:rsidRPr="00334D0B" w:rsidRDefault="00D17F78" w:rsidP="00D17F78">
      <w:pPr>
        <w:pStyle w:val="NormalWeb"/>
        <w:spacing w:after="0"/>
        <w:jc w:val="both"/>
        <w:rPr>
          <w:rFonts w:ascii="Times New Roman" w:hAnsi="Times New Roman"/>
          <w:b/>
          <w:bCs/>
          <w:sz w:val="24"/>
          <w:szCs w:val="24"/>
          <w:lang w:val="en-GB"/>
        </w:rPr>
      </w:pPr>
      <w:bookmarkStart w:id="0" w:name="_GoBack"/>
      <w:bookmarkEnd w:id="0"/>
      <w:r w:rsidRPr="00334D0B">
        <w:rPr>
          <w:rFonts w:ascii="Times New Roman" w:hAnsi="Times New Roman"/>
          <w:b/>
          <w:bCs/>
          <w:sz w:val="24"/>
          <w:szCs w:val="24"/>
          <w:lang w:val="en-GB"/>
        </w:rPr>
        <w:t xml:space="preserve">Common </w:t>
      </w:r>
      <w:r w:rsidRPr="00EA3E27">
        <w:rPr>
          <w:rFonts w:ascii="Times New Roman" w:hAnsi="Times New Roman"/>
          <w:b/>
          <w:bCs/>
          <w:sz w:val="24"/>
          <w:szCs w:val="24"/>
          <w:lang w:val="en-GB"/>
        </w:rPr>
        <w:t>declaration of organisations active in the judicial defence of prisoners´ rights, in respect of</w:t>
      </w:r>
      <w:r w:rsidRPr="00334D0B">
        <w:rPr>
          <w:rFonts w:ascii="Times New Roman" w:hAnsi="Times New Roman"/>
          <w:b/>
          <w:bCs/>
          <w:sz w:val="24"/>
          <w:szCs w:val="24"/>
          <w:lang w:val="en-GB"/>
        </w:rPr>
        <w:t xml:space="preserve"> the stakeholders</w:t>
      </w:r>
      <w:r>
        <w:rPr>
          <w:rFonts w:ascii="Times New Roman" w:hAnsi="Times New Roman"/>
          <w:b/>
          <w:bCs/>
          <w:sz w:val="24"/>
          <w:szCs w:val="24"/>
          <w:lang w:val="en-GB"/>
        </w:rPr>
        <w:t>’</w:t>
      </w:r>
      <w:r w:rsidRPr="00334D0B">
        <w:rPr>
          <w:rFonts w:ascii="Times New Roman" w:hAnsi="Times New Roman"/>
          <w:b/>
          <w:bCs/>
          <w:sz w:val="24"/>
          <w:szCs w:val="24"/>
          <w:lang w:val="en-GB"/>
        </w:rPr>
        <w:t xml:space="preserve"> conference organised by the Belgium Presidency of the </w:t>
      </w:r>
      <w:r>
        <w:rPr>
          <w:rFonts w:ascii="Times New Roman" w:hAnsi="Times New Roman"/>
          <w:b/>
          <w:bCs/>
          <w:sz w:val="24"/>
          <w:szCs w:val="24"/>
          <w:lang w:val="en-GB"/>
        </w:rPr>
        <w:t>Committee of Ministers</w:t>
      </w:r>
    </w:p>
    <w:p w:rsidR="00D17F78" w:rsidRPr="00334D0B" w:rsidRDefault="00D17F78" w:rsidP="00D17F78">
      <w:pPr>
        <w:pStyle w:val="NormalWeb"/>
        <w:spacing w:after="0"/>
        <w:jc w:val="both"/>
        <w:rPr>
          <w:rFonts w:ascii="Times New Roman" w:hAnsi="Times New Roman"/>
          <w:i/>
          <w:sz w:val="24"/>
          <w:szCs w:val="24"/>
          <w:lang w:val="en-GB"/>
        </w:rPr>
      </w:pPr>
      <w:proofErr w:type="gramStart"/>
      <w:r w:rsidRPr="00334D0B">
        <w:rPr>
          <w:rFonts w:ascii="Times New Roman" w:hAnsi="Times New Roman"/>
          <w:i/>
          <w:sz w:val="24"/>
          <w:szCs w:val="24"/>
          <w:lang w:val="en-GB"/>
        </w:rPr>
        <w:t xml:space="preserve">Strategy to improve the operation of </w:t>
      </w:r>
      <w:r>
        <w:rPr>
          <w:rFonts w:ascii="Times New Roman" w:hAnsi="Times New Roman"/>
          <w:i/>
          <w:sz w:val="24"/>
          <w:szCs w:val="24"/>
          <w:lang w:val="en-GB"/>
        </w:rPr>
        <w:t xml:space="preserve">the </w:t>
      </w:r>
      <w:r w:rsidRPr="00334D0B">
        <w:rPr>
          <w:rFonts w:ascii="Times New Roman" w:hAnsi="Times New Roman"/>
          <w:i/>
          <w:sz w:val="24"/>
          <w:szCs w:val="24"/>
          <w:lang w:val="en-GB"/>
        </w:rPr>
        <w:t xml:space="preserve">processes </w:t>
      </w:r>
      <w:r>
        <w:rPr>
          <w:rFonts w:ascii="Times New Roman" w:hAnsi="Times New Roman"/>
          <w:i/>
          <w:sz w:val="24"/>
          <w:szCs w:val="24"/>
          <w:lang w:val="en-GB"/>
        </w:rPr>
        <w:t>concerning</w:t>
      </w:r>
      <w:r w:rsidRPr="00334D0B">
        <w:rPr>
          <w:rFonts w:ascii="Times New Roman" w:hAnsi="Times New Roman"/>
          <w:i/>
          <w:sz w:val="24"/>
          <w:szCs w:val="24"/>
          <w:lang w:val="en-GB"/>
        </w:rPr>
        <w:t xml:space="preserve"> the execution of Strasbourg Court´s </w:t>
      </w:r>
      <w:r>
        <w:rPr>
          <w:rFonts w:ascii="Times New Roman" w:hAnsi="Times New Roman"/>
          <w:i/>
          <w:sz w:val="24"/>
          <w:szCs w:val="24"/>
          <w:lang w:val="en-GB"/>
        </w:rPr>
        <w:t>judgments</w:t>
      </w:r>
      <w:r w:rsidRPr="00334D0B">
        <w:rPr>
          <w:rFonts w:ascii="Times New Roman" w:hAnsi="Times New Roman"/>
          <w:i/>
          <w:sz w:val="24"/>
          <w:szCs w:val="24"/>
          <w:lang w:val="en-GB"/>
        </w:rPr>
        <w:t xml:space="preserve"> and to erase structural or systemic failures to the ECHR.</w:t>
      </w:r>
      <w:proofErr w:type="gramEnd"/>
    </w:p>
    <w:p w:rsidR="00D17F78" w:rsidRPr="00334D0B" w:rsidRDefault="00D17F78" w:rsidP="00D17F78">
      <w:pPr>
        <w:pStyle w:val="NormalWeb"/>
        <w:spacing w:after="0"/>
        <w:jc w:val="both"/>
        <w:rPr>
          <w:i/>
          <w:lang w:val="en-GB"/>
        </w:rPr>
      </w:pPr>
    </w:p>
    <w:p w:rsidR="00D17F78" w:rsidRPr="00BD332F" w:rsidRDefault="00D17F78" w:rsidP="00D17F78">
      <w:pPr>
        <w:pStyle w:val="NormalWeb"/>
        <w:spacing w:after="0"/>
        <w:jc w:val="both"/>
        <w:rPr>
          <w:rFonts w:ascii="Times New Roman" w:hAnsi="Times New Roman"/>
          <w:sz w:val="24"/>
          <w:szCs w:val="24"/>
          <w:lang w:val="en-GB"/>
        </w:rPr>
      </w:pPr>
      <w:r w:rsidRPr="00334D0B">
        <w:rPr>
          <w:rFonts w:ascii="Times New Roman" w:hAnsi="Times New Roman"/>
          <w:sz w:val="24"/>
          <w:szCs w:val="24"/>
          <w:lang w:val="en-GB"/>
        </w:rPr>
        <w:t xml:space="preserve">1. The </w:t>
      </w:r>
      <w:r>
        <w:rPr>
          <w:rFonts w:ascii="Times New Roman" w:hAnsi="Times New Roman"/>
          <w:sz w:val="24"/>
          <w:szCs w:val="24"/>
          <w:lang w:val="en-GB"/>
        </w:rPr>
        <w:t xml:space="preserve">signatory </w:t>
      </w:r>
      <w:r w:rsidRPr="00334D0B">
        <w:rPr>
          <w:rFonts w:ascii="Times New Roman" w:hAnsi="Times New Roman"/>
          <w:sz w:val="24"/>
          <w:szCs w:val="24"/>
          <w:lang w:val="en-GB"/>
        </w:rPr>
        <w:t>organisations, active in the judicial defence of prisoners´ rights, consider positively the initiative taken by Belgium authorities to organise a stakeholders</w:t>
      </w:r>
      <w:r>
        <w:rPr>
          <w:rFonts w:ascii="Times New Roman" w:hAnsi="Times New Roman"/>
          <w:sz w:val="24"/>
          <w:szCs w:val="24"/>
          <w:lang w:val="en-GB"/>
        </w:rPr>
        <w:t>’</w:t>
      </w:r>
      <w:r w:rsidRPr="00334D0B">
        <w:rPr>
          <w:rFonts w:ascii="Times New Roman" w:hAnsi="Times New Roman"/>
          <w:sz w:val="24"/>
          <w:szCs w:val="24"/>
          <w:lang w:val="en-GB"/>
        </w:rPr>
        <w:t xml:space="preserve"> conference on </w:t>
      </w:r>
      <w:r>
        <w:rPr>
          <w:rFonts w:ascii="Times New Roman" w:hAnsi="Times New Roman"/>
          <w:sz w:val="24"/>
          <w:szCs w:val="24"/>
          <w:lang w:val="en-GB"/>
        </w:rPr>
        <w:t xml:space="preserve">the </w:t>
      </w:r>
      <w:r w:rsidRPr="00334D0B">
        <w:rPr>
          <w:rFonts w:ascii="Times New Roman" w:hAnsi="Times New Roman"/>
          <w:sz w:val="24"/>
          <w:szCs w:val="24"/>
          <w:lang w:val="en-GB"/>
        </w:rPr>
        <w:t xml:space="preserve">shared responsibility of </w:t>
      </w:r>
      <w:r>
        <w:rPr>
          <w:rFonts w:ascii="Times New Roman" w:hAnsi="Times New Roman"/>
          <w:sz w:val="24"/>
          <w:szCs w:val="24"/>
          <w:lang w:val="en-GB"/>
        </w:rPr>
        <w:t xml:space="preserve">member </w:t>
      </w:r>
      <w:r w:rsidRPr="00334D0B">
        <w:rPr>
          <w:rFonts w:ascii="Times New Roman" w:hAnsi="Times New Roman"/>
          <w:sz w:val="24"/>
          <w:szCs w:val="24"/>
          <w:lang w:val="en-GB"/>
        </w:rPr>
        <w:t xml:space="preserve">States and institutions </w:t>
      </w:r>
      <w:r>
        <w:rPr>
          <w:rFonts w:ascii="Times New Roman" w:hAnsi="Times New Roman"/>
          <w:sz w:val="24"/>
          <w:szCs w:val="24"/>
          <w:lang w:val="en-GB"/>
        </w:rPr>
        <w:t xml:space="preserve">of the Council of Europe regarding the implementation of the European Convention </w:t>
      </w:r>
      <w:r w:rsidRPr="00EA3E27">
        <w:rPr>
          <w:rFonts w:ascii="Times New Roman" w:hAnsi="Times New Roman"/>
          <w:sz w:val="24"/>
          <w:szCs w:val="24"/>
          <w:lang w:val="en-GB"/>
        </w:rPr>
        <w:t>of</w:t>
      </w:r>
      <w:r>
        <w:rPr>
          <w:rFonts w:ascii="Times New Roman" w:hAnsi="Times New Roman"/>
          <w:sz w:val="24"/>
          <w:szCs w:val="24"/>
          <w:lang w:val="en-GB"/>
        </w:rPr>
        <w:t xml:space="preserve"> Human Rights. The political declaration that should emerge out of the Conference represents indeed an opportune moment to conceive a universal strategy and concrete measures to improve both the execution frame of </w:t>
      </w:r>
      <w:r w:rsidRPr="00BD332F">
        <w:rPr>
          <w:rFonts w:ascii="Times New Roman" w:hAnsi="Times New Roman"/>
          <w:sz w:val="24"/>
          <w:szCs w:val="24"/>
          <w:lang w:val="en-GB"/>
        </w:rPr>
        <w:t>Strasbourg Court´s decisions</w:t>
      </w:r>
      <w:r>
        <w:rPr>
          <w:rFonts w:ascii="Times New Roman" w:hAnsi="Times New Roman"/>
          <w:sz w:val="24"/>
          <w:szCs w:val="24"/>
          <w:lang w:val="en-GB"/>
        </w:rPr>
        <w:t xml:space="preserve"> and the monitoring of actions taken by member States, while strengthening prevention mechanisms against new violations of the </w:t>
      </w:r>
      <w:bookmarkStart w:id="1" w:name="sdfootnote1anc"/>
      <w:r>
        <w:rPr>
          <w:rFonts w:ascii="Times New Roman" w:hAnsi="Times New Roman"/>
          <w:sz w:val="24"/>
          <w:szCs w:val="24"/>
          <w:lang w:val="en-GB"/>
        </w:rPr>
        <w:t>European Convention.</w:t>
      </w:r>
      <w:r>
        <w:rPr>
          <w:rStyle w:val="Refdenotaderodap"/>
          <w:rFonts w:ascii="Times New Roman" w:hAnsi="Times New Roman"/>
          <w:sz w:val="24"/>
          <w:szCs w:val="24"/>
        </w:rPr>
        <w:footnoteReference w:id="1"/>
      </w:r>
      <w:bookmarkEnd w:id="1"/>
    </w:p>
    <w:p w:rsidR="00D17F78" w:rsidRDefault="00D17F78" w:rsidP="00D17F78">
      <w:pPr>
        <w:pStyle w:val="NormalWeb"/>
        <w:spacing w:after="0"/>
        <w:jc w:val="both"/>
        <w:rPr>
          <w:rFonts w:ascii="Times New Roman" w:hAnsi="Times New Roman"/>
          <w:sz w:val="24"/>
          <w:szCs w:val="24"/>
          <w:lang w:val="en-US"/>
        </w:rPr>
      </w:pPr>
      <w:r w:rsidRPr="00410A25">
        <w:rPr>
          <w:rFonts w:ascii="Times New Roman" w:hAnsi="Times New Roman"/>
          <w:sz w:val="24"/>
          <w:szCs w:val="24"/>
          <w:lang w:val="en-US"/>
        </w:rPr>
        <w:t xml:space="preserve">2. The core challenge of the Conference </w:t>
      </w:r>
      <w:r>
        <w:rPr>
          <w:rFonts w:ascii="Times New Roman" w:hAnsi="Times New Roman"/>
          <w:sz w:val="24"/>
          <w:szCs w:val="24"/>
          <w:lang w:val="en-US"/>
        </w:rPr>
        <w:t>focuses on solving structural or systemic forms of Convention violations that weaken the Convention´s authority and conduct to repetitive applications that congest</w:t>
      </w:r>
      <w:r w:rsidRPr="00410A25">
        <w:rPr>
          <w:rFonts w:ascii="Times New Roman" w:hAnsi="Times New Roman"/>
          <w:sz w:val="24"/>
          <w:szCs w:val="24"/>
          <w:lang w:val="en-US"/>
        </w:rPr>
        <w:t xml:space="preserve"> </w:t>
      </w:r>
      <w:r>
        <w:rPr>
          <w:rFonts w:ascii="Times New Roman" w:hAnsi="Times New Roman"/>
          <w:sz w:val="24"/>
          <w:szCs w:val="24"/>
          <w:lang w:val="en-US"/>
        </w:rPr>
        <w:t>the Court</w:t>
      </w:r>
      <w:bookmarkStart w:id="2" w:name="sdfootnote2anc"/>
      <w:r>
        <w:rPr>
          <w:rFonts w:ascii="Times New Roman" w:hAnsi="Times New Roman"/>
          <w:sz w:val="24"/>
          <w:szCs w:val="24"/>
          <w:lang w:val="en-US"/>
        </w:rPr>
        <w:t>.</w:t>
      </w:r>
      <w:r>
        <w:rPr>
          <w:rStyle w:val="Refdenotaderodap"/>
          <w:rFonts w:ascii="Times New Roman" w:hAnsi="Times New Roman"/>
          <w:sz w:val="24"/>
          <w:szCs w:val="24"/>
        </w:rPr>
        <w:footnoteReference w:id="2"/>
      </w:r>
      <w:bookmarkEnd w:id="2"/>
      <w:r>
        <w:rPr>
          <w:rFonts w:ascii="Times New Roman" w:hAnsi="Times New Roman"/>
          <w:sz w:val="24"/>
          <w:szCs w:val="24"/>
          <w:lang w:val="en-US"/>
        </w:rPr>
        <w:t xml:space="preserve"> Since an important part of these failures results from the malfunctioning of prison systems,</w:t>
      </w:r>
      <w:r>
        <w:rPr>
          <w:rStyle w:val="Refdenotaderodap"/>
          <w:rFonts w:ascii="Times New Roman" w:hAnsi="Times New Roman"/>
          <w:sz w:val="24"/>
          <w:szCs w:val="24"/>
        </w:rPr>
        <w:footnoteReference w:id="3"/>
      </w:r>
      <w:r>
        <w:rPr>
          <w:rFonts w:ascii="Times New Roman" w:hAnsi="Times New Roman"/>
          <w:sz w:val="24"/>
          <w:szCs w:val="24"/>
          <w:lang w:val="en-US"/>
        </w:rPr>
        <w:t xml:space="preserve"> the signatory organisations consider it to be their own responsibility to transmit their common observations to the Belgium Presidency and the Committee of Ministers as to a reform of the execution system of the Court´s decisions and, on a larger scale, as to the Convention´s mechanism as it is currently discussed within the framework of the Interlaken Process.</w:t>
      </w:r>
    </w:p>
    <w:p w:rsidR="00D17F78" w:rsidRPr="00410A25" w:rsidRDefault="00D17F78" w:rsidP="00D17F78">
      <w:pPr>
        <w:pStyle w:val="NormalWeb"/>
        <w:spacing w:after="0"/>
        <w:jc w:val="both"/>
        <w:rPr>
          <w:rFonts w:ascii="Times New Roman" w:hAnsi="Times New Roman"/>
          <w:sz w:val="24"/>
          <w:szCs w:val="24"/>
          <w:lang w:val="en-US"/>
        </w:rPr>
      </w:pPr>
    </w:p>
    <w:p w:rsidR="00D17F78" w:rsidRPr="00B14DCB" w:rsidRDefault="00D17F78" w:rsidP="00D17F78">
      <w:pPr>
        <w:pStyle w:val="NormalWeb"/>
        <w:spacing w:after="0"/>
        <w:ind w:firstLine="708"/>
        <w:jc w:val="both"/>
        <w:rPr>
          <w:lang w:val="en-US"/>
        </w:rPr>
      </w:pPr>
      <w:r w:rsidRPr="00B14DCB">
        <w:rPr>
          <w:rFonts w:ascii="Times New Roman" w:hAnsi="Times New Roman"/>
          <w:sz w:val="24"/>
          <w:szCs w:val="24"/>
          <w:u w:val="single"/>
          <w:lang w:val="en-US"/>
        </w:rPr>
        <w:t xml:space="preserve">1. On the role and the model of the Court: </w:t>
      </w:r>
      <w:r>
        <w:rPr>
          <w:rFonts w:ascii="Times New Roman" w:hAnsi="Times New Roman"/>
          <w:sz w:val="24"/>
          <w:szCs w:val="24"/>
          <w:u w:val="single"/>
          <w:lang w:val="en-US"/>
        </w:rPr>
        <w:t>consolidate the right of individual application</w:t>
      </w:r>
      <w:r w:rsidRPr="00B14DCB">
        <w:rPr>
          <w:rFonts w:ascii="Times New Roman" w:hAnsi="Times New Roman"/>
          <w:sz w:val="24"/>
          <w:szCs w:val="24"/>
          <w:u w:val="single"/>
          <w:lang w:val="en-US"/>
        </w:rPr>
        <w:t xml:space="preserve"> </w:t>
      </w:r>
    </w:p>
    <w:p w:rsidR="00D17F78" w:rsidRPr="00B14DCB" w:rsidRDefault="00D17F78" w:rsidP="00D17F78">
      <w:pPr>
        <w:pStyle w:val="NormalWeb"/>
        <w:spacing w:after="0"/>
        <w:jc w:val="both"/>
        <w:rPr>
          <w:rFonts w:ascii="Times New Roman" w:hAnsi="Times New Roman"/>
          <w:sz w:val="24"/>
          <w:szCs w:val="24"/>
          <w:lang w:val="en-US"/>
        </w:rPr>
      </w:pPr>
      <w:r w:rsidRPr="00487D23">
        <w:rPr>
          <w:rFonts w:ascii="Times New Roman" w:hAnsi="Times New Roman"/>
          <w:sz w:val="24"/>
          <w:szCs w:val="24"/>
          <w:lang w:val="en-US"/>
        </w:rPr>
        <w:t>3. Together with the Parliamentary Assembly, the present organisations are worried about the fact that the main debate “</w:t>
      </w:r>
      <w:r w:rsidRPr="00487D23">
        <w:rPr>
          <w:rFonts w:ascii="Times New Roman" w:hAnsi="Times New Roman"/>
          <w:i/>
          <w:sz w:val="24"/>
          <w:szCs w:val="24"/>
          <w:lang w:val="en-US"/>
        </w:rPr>
        <w:t>still largely revolve</w:t>
      </w:r>
      <w:r>
        <w:rPr>
          <w:rFonts w:ascii="Times New Roman" w:hAnsi="Times New Roman"/>
          <w:i/>
          <w:sz w:val="24"/>
          <w:szCs w:val="24"/>
          <w:lang w:val="en-US"/>
        </w:rPr>
        <w:t>[s]</w:t>
      </w:r>
      <w:r w:rsidRPr="00487D23">
        <w:rPr>
          <w:rFonts w:ascii="Times New Roman" w:hAnsi="Times New Roman"/>
          <w:i/>
          <w:sz w:val="24"/>
          <w:szCs w:val="24"/>
          <w:lang w:val="en-US"/>
        </w:rPr>
        <w:t xml:space="preserve"> around the future of the European Court of Human Rights. Especially in light of the criticism currently facing the Court, this sends a dangerously misleading message that the prevailing problems can be attributed, first and foremost, to the Strasbourg Court</w:t>
      </w:r>
      <w:r w:rsidRPr="00487D23">
        <w:rPr>
          <w:rFonts w:ascii="Times New Roman" w:hAnsi="Times New Roman"/>
          <w:sz w:val="24"/>
          <w:szCs w:val="24"/>
          <w:lang w:val="en-US"/>
        </w:rPr>
        <w:t>”</w:t>
      </w:r>
      <w:bookmarkStart w:id="3" w:name="sdfootnote4anc"/>
      <w:r w:rsidRPr="00487D23">
        <w:rPr>
          <w:rFonts w:ascii="Times New Roman" w:hAnsi="Times New Roman"/>
          <w:sz w:val="24"/>
          <w:szCs w:val="24"/>
          <w:lang w:val="en-US"/>
        </w:rPr>
        <w:t>.</w:t>
      </w:r>
      <w:r w:rsidRPr="006D41CC">
        <w:rPr>
          <w:rStyle w:val="Refdenotaderodap"/>
          <w:rFonts w:ascii="Times New Roman" w:hAnsi="Times New Roman"/>
          <w:sz w:val="24"/>
          <w:szCs w:val="24"/>
        </w:rPr>
        <w:footnoteReference w:id="4"/>
      </w:r>
      <w:bookmarkEnd w:id="3"/>
      <w:r w:rsidRPr="00487D23">
        <w:rPr>
          <w:rFonts w:ascii="Times New Roman" w:hAnsi="Times New Roman"/>
          <w:sz w:val="24"/>
          <w:szCs w:val="24"/>
          <w:lang w:val="en-US"/>
        </w:rPr>
        <w:t xml:space="preserve"> </w:t>
      </w:r>
      <w:r w:rsidRPr="006D41CC">
        <w:rPr>
          <w:rFonts w:ascii="Times New Roman" w:hAnsi="Times New Roman"/>
          <w:sz w:val="24"/>
          <w:szCs w:val="24"/>
          <w:lang w:val="en-US"/>
        </w:rPr>
        <w:t>The organisations consider that the current wo</w:t>
      </w:r>
      <w:r w:rsidRPr="00B14DCB">
        <w:rPr>
          <w:rFonts w:ascii="Times New Roman" w:hAnsi="Times New Roman"/>
          <w:sz w:val="24"/>
          <w:szCs w:val="24"/>
          <w:lang w:val="en-US"/>
        </w:rPr>
        <w:t>rk should not be used as ground to weaken the Court, but rather to define</w:t>
      </w:r>
      <w:r>
        <w:rPr>
          <w:rFonts w:ascii="Times New Roman" w:hAnsi="Times New Roman"/>
          <w:sz w:val="24"/>
          <w:szCs w:val="24"/>
          <w:lang w:val="en-US"/>
        </w:rPr>
        <w:t xml:space="preserve"> the concrete actions that need to be taken in order to require the member States to conform to the Convention´s standards, particularly to erase structural or systemic problems that they are aware of.</w:t>
      </w:r>
    </w:p>
    <w:p w:rsidR="00D17F78" w:rsidRPr="000976B2" w:rsidRDefault="00D17F78" w:rsidP="00D17F78">
      <w:pPr>
        <w:pStyle w:val="NormalWeb"/>
        <w:spacing w:after="0"/>
        <w:jc w:val="both"/>
        <w:rPr>
          <w:rFonts w:ascii="Times New Roman" w:hAnsi="Times New Roman"/>
          <w:sz w:val="24"/>
          <w:szCs w:val="24"/>
          <w:lang w:val="en-US"/>
        </w:rPr>
      </w:pPr>
      <w:r w:rsidRPr="000976B2">
        <w:rPr>
          <w:rFonts w:ascii="Times New Roman" w:hAnsi="Times New Roman"/>
          <w:sz w:val="24"/>
          <w:szCs w:val="24"/>
          <w:lang w:val="en-US"/>
        </w:rPr>
        <w:lastRenderedPageBreak/>
        <w:t>4. In the context of intensive discussions</w:t>
      </w:r>
      <w:r>
        <w:rPr>
          <w:rFonts w:ascii="Times New Roman" w:hAnsi="Times New Roman"/>
          <w:sz w:val="24"/>
          <w:szCs w:val="24"/>
          <w:lang w:val="en-US"/>
        </w:rPr>
        <w:t xml:space="preserve"> conducted on systemic reform, some declarations aim to move the Court´s control mechanism towards other models.</w:t>
      </w:r>
      <w:bookmarkStart w:id="4" w:name="sdfootnote5anc"/>
      <w:r>
        <w:rPr>
          <w:rStyle w:val="Refdenotaderodap"/>
          <w:rFonts w:ascii="Times New Roman" w:hAnsi="Times New Roman"/>
          <w:sz w:val="24"/>
          <w:szCs w:val="24"/>
        </w:rPr>
        <w:footnoteReference w:id="5"/>
      </w:r>
      <w:bookmarkEnd w:id="4"/>
      <w:r>
        <w:rPr>
          <w:rFonts w:ascii="Times New Roman" w:hAnsi="Times New Roman"/>
          <w:sz w:val="24"/>
          <w:szCs w:val="24"/>
          <w:lang w:val="en-US"/>
        </w:rPr>
        <w:t xml:space="preserve"> The organisations consider that it is not permissible to question both the functions of the Court that are to take into consideration any mention of the violation of the rights guaranteed by the Convention and to implement common European norms on Human Rights´ issues.</w:t>
      </w:r>
    </w:p>
    <w:p w:rsidR="00D17F78" w:rsidRDefault="00D17F78" w:rsidP="00D17F78">
      <w:pPr>
        <w:pStyle w:val="NormalWeb"/>
        <w:spacing w:after="0"/>
        <w:jc w:val="both"/>
        <w:rPr>
          <w:rFonts w:ascii="Times New Roman" w:hAnsi="Times New Roman"/>
          <w:sz w:val="24"/>
          <w:szCs w:val="24"/>
          <w:lang w:val="en-US"/>
        </w:rPr>
      </w:pPr>
      <w:r w:rsidRPr="00B67F26">
        <w:rPr>
          <w:rFonts w:ascii="Times New Roman" w:hAnsi="Times New Roman"/>
          <w:sz w:val="24"/>
          <w:szCs w:val="24"/>
          <w:lang w:val="en-US"/>
        </w:rPr>
        <w:t xml:space="preserve">5. In the first place, it is essential that the individual </w:t>
      </w:r>
      <w:r>
        <w:rPr>
          <w:rFonts w:ascii="Times New Roman" w:hAnsi="Times New Roman"/>
          <w:sz w:val="24"/>
          <w:szCs w:val="24"/>
          <w:lang w:val="en-US"/>
        </w:rPr>
        <w:t>application</w:t>
      </w:r>
      <w:r w:rsidRPr="00B67F26">
        <w:rPr>
          <w:rFonts w:ascii="Times New Roman" w:hAnsi="Times New Roman"/>
          <w:sz w:val="24"/>
          <w:szCs w:val="24"/>
          <w:lang w:val="en-US"/>
        </w:rPr>
        <w:t xml:space="preserve"> remains the </w:t>
      </w:r>
      <w:r>
        <w:rPr>
          <w:rFonts w:ascii="Times New Roman" w:hAnsi="Times New Roman"/>
          <w:sz w:val="24"/>
          <w:szCs w:val="24"/>
          <w:lang w:val="en-US"/>
        </w:rPr>
        <w:t>“</w:t>
      </w:r>
      <w:r w:rsidRPr="00CD027C">
        <w:rPr>
          <w:rFonts w:ascii="Times New Roman" w:hAnsi="Times New Roman"/>
          <w:i/>
          <w:sz w:val="24"/>
          <w:szCs w:val="24"/>
          <w:lang w:val="en-US"/>
        </w:rPr>
        <w:t>keystone</w:t>
      </w:r>
      <w:r>
        <w:rPr>
          <w:rFonts w:ascii="Times New Roman" w:hAnsi="Times New Roman"/>
          <w:sz w:val="24"/>
          <w:szCs w:val="24"/>
          <w:lang w:val="en-US"/>
        </w:rPr>
        <w:t>”</w:t>
      </w:r>
      <w:r w:rsidRPr="00B67F26">
        <w:rPr>
          <w:rFonts w:ascii="Times New Roman" w:hAnsi="Times New Roman"/>
          <w:sz w:val="24"/>
          <w:szCs w:val="24"/>
          <w:lang w:val="en-US"/>
        </w:rPr>
        <w:t xml:space="preserve"> of the Convention system as described by the Declaration of Brighton.</w:t>
      </w:r>
      <w:r>
        <w:rPr>
          <w:rFonts w:ascii="Times New Roman" w:hAnsi="Times New Roman"/>
          <w:sz w:val="24"/>
          <w:szCs w:val="24"/>
          <w:lang w:val="en-US"/>
        </w:rPr>
        <w:t xml:space="preserve"> In reducing the role of the individual application, there is a risk that the function of protection of individuals - that constitutes its primary purpose - will be rendered theoretical and illusory. A good example of this is the increase of the prison-related jurisprudence since the new Court has started: the assessment by the judge of essential human rights´ standards is also operated through the examination of ordinary (at first sight) litigation. The understanding of closed institutions is the most problematic since they are not under public scrutiny and therefore need a constant monitoring. Access to the Court represents a basic and fundamental guarantee for individuals in detention and the Court´s intervention, potential or effective, undeniably contributes to the accomplishment of the protected rights.  </w:t>
      </w:r>
    </w:p>
    <w:p w:rsidR="00D17F78" w:rsidRPr="00487D23" w:rsidRDefault="00D17F78" w:rsidP="00D17F78">
      <w:pPr>
        <w:pStyle w:val="NormalWeb"/>
        <w:jc w:val="both"/>
        <w:rPr>
          <w:rFonts w:ascii="Times New Roman" w:hAnsi="Times New Roman"/>
          <w:i/>
          <w:iCs/>
          <w:sz w:val="24"/>
          <w:szCs w:val="24"/>
          <w:lang w:val="en-US"/>
        </w:rPr>
      </w:pPr>
      <w:r w:rsidRPr="00070025">
        <w:rPr>
          <w:rFonts w:ascii="Times New Roman" w:hAnsi="Times New Roman"/>
          <w:sz w:val="24"/>
          <w:szCs w:val="24"/>
          <w:lang w:val="en-US"/>
        </w:rPr>
        <w:t xml:space="preserve">6. According to the information provided by the </w:t>
      </w:r>
      <w:r>
        <w:rPr>
          <w:rFonts w:ascii="Times New Roman" w:hAnsi="Times New Roman"/>
          <w:sz w:val="24"/>
          <w:szCs w:val="24"/>
          <w:lang w:val="en-US"/>
        </w:rPr>
        <w:t>Registrar of the Court,</w:t>
      </w:r>
      <w:r>
        <w:rPr>
          <w:rStyle w:val="Refdenotaderodap"/>
          <w:rFonts w:ascii="Times New Roman" w:hAnsi="Times New Roman"/>
          <w:sz w:val="24"/>
          <w:szCs w:val="24"/>
        </w:rPr>
        <w:footnoteReference w:id="6"/>
      </w:r>
      <w:r w:rsidRPr="00070025">
        <w:rPr>
          <w:rFonts w:ascii="Times New Roman" w:hAnsi="Times New Roman"/>
          <w:sz w:val="24"/>
          <w:szCs w:val="24"/>
          <w:lang w:val="en-US"/>
        </w:rPr>
        <w:t xml:space="preserve"> </w:t>
      </w:r>
      <w:r>
        <w:rPr>
          <w:rFonts w:ascii="Times New Roman" w:hAnsi="Times New Roman"/>
          <w:sz w:val="24"/>
          <w:szCs w:val="24"/>
          <w:lang w:val="en-US"/>
        </w:rPr>
        <w:t xml:space="preserve">the Court will be able to function efficiently for many years in a quite similar configuration as the present one, which undermines all of the initiatives aimed at reducing the scope of the right of individual application. For example, there is no ground to create mechanisms that would enable the Court to select its own cases, or to set a restrictive number of applications to examine. </w:t>
      </w:r>
      <w:r w:rsidRPr="00487D23">
        <w:rPr>
          <w:rFonts w:ascii="Times New Roman" w:hAnsi="Times New Roman"/>
          <w:sz w:val="24"/>
          <w:szCs w:val="24"/>
          <w:lang w:val="en-US"/>
        </w:rPr>
        <w:t xml:space="preserve">Is also unjustified </w:t>
      </w:r>
      <w:r>
        <w:rPr>
          <w:rFonts w:ascii="Times New Roman" w:hAnsi="Times New Roman"/>
          <w:sz w:val="24"/>
          <w:szCs w:val="24"/>
          <w:lang w:val="en-US"/>
        </w:rPr>
        <w:t xml:space="preserve">to introduce a </w:t>
      </w:r>
      <w:r w:rsidRPr="00487D23">
        <w:rPr>
          <w:rFonts w:ascii="Times New Roman" w:hAnsi="Times New Roman"/>
          <w:sz w:val="24"/>
          <w:szCs w:val="24"/>
          <w:lang w:val="en-US"/>
        </w:rPr>
        <w:t>rule</w:t>
      </w:r>
      <w:r>
        <w:rPr>
          <w:rFonts w:ascii="Times New Roman" w:hAnsi="Times New Roman"/>
          <w:sz w:val="24"/>
          <w:szCs w:val="24"/>
          <w:lang w:val="en-US"/>
        </w:rPr>
        <w:t xml:space="preserve"> as a deterrent that will require</w:t>
      </w:r>
      <w:r w:rsidRPr="00487D23">
        <w:rPr>
          <w:rFonts w:ascii="Times New Roman" w:hAnsi="Times New Roman"/>
          <w:sz w:val="24"/>
          <w:szCs w:val="24"/>
          <w:lang w:val="en-US"/>
        </w:rPr>
        <w:t xml:space="preserve"> </w:t>
      </w:r>
      <w:r>
        <w:rPr>
          <w:rFonts w:ascii="Times New Roman" w:hAnsi="Times New Roman"/>
          <w:sz w:val="24"/>
          <w:szCs w:val="24"/>
          <w:lang w:val="en-US"/>
        </w:rPr>
        <w:t>“</w:t>
      </w:r>
      <w:r w:rsidRPr="00487D23">
        <w:rPr>
          <w:rFonts w:ascii="Times New Roman" w:hAnsi="Times New Roman"/>
          <w:i/>
          <w:iCs/>
          <w:sz w:val="24"/>
          <w:szCs w:val="24"/>
          <w:lang w:val="en-US"/>
        </w:rPr>
        <w:t>those whose applications are declared manifestly ill-founded or to constitute an abuse of the right of application be required to pay legal costs and expenses, under certain conditions</w:t>
      </w:r>
      <w:r>
        <w:rPr>
          <w:rFonts w:ascii="Times New Roman" w:hAnsi="Times New Roman"/>
          <w:sz w:val="24"/>
          <w:szCs w:val="24"/>
          <w:lang w:val="en-US"/>
        </w:rPr>
        <w:t>“</w:t>
      </w:r>
      <w:bookmarkStart w:id="5" w:name="sdfootnote8anc"/>
      <w:r>
        <w:rPr>
          <w:rFonts w:ascii="Times New Roman" w:hAnsi="Times New Roman"/>
          <w:sz w:val="24"/>
          <w:szCs w:val="24"/>
          <w:lang w:val="en-US"/>
        </w:rPr>
        <w:t>.</w:t>
      </w:r>
      <w:r>
        <w:rPr>
          <w:rStyle w:val="Refdenotaderodap"/>
          <w:rFonts w:ascii="Times New Roman" w:hAnsi="Times New Roman"/>
          <w:sz w:val="24"/>
          <w:szCs w:val="24"/>
        </w:rPr>
        <w:footnoteReference w:id="7"/>
      </w:r>
      <w:bookmarkEnd w:id="5"/>
    </w:p>
    <w:p w:rsidR="00D17F78" w:rsidRPr="00BB2B56" w:rsidRDefault="00D17F78" w:rsidP="00D17F78">
      <w:pPr>
        <w:pStyle w:val="NormalWeb"/>
        <w:spacing w:after="0"/>
        <w:jc w:val="both"/>
        <w:rPr>
          <w:rFonts w:ascii="Times New Roman" w:hAnsi="Times New Roman"/>
          <w:sz w:val="24"/>
          <w:szCs w:val="24"/>
          <w:lang w:val="en-GB"/>
        </w:rPr>
      </w:pPr>
      <w:r w:rsidRPr="006469AF">
        <w:rPr>
          <w:rFonts w:ascii="Times New Roman" w:hAnsi="Times New Roman"/>
          <w:sz w:val="24"/>
          <w:szCs w:val="24"/>
          <w:lang w:val="en-GB"/>
        </w:rPr>
        <w:t xml:space="preserve">7. On a larger scale, any strategy that tries to solve the issue of repetitive </w:t>
      </w:r>
      <w:r>
        <w:rPr>
          <w:rFonts w:ascii="Times New Roman" w:hAnsi="Times New Roman"/>
          <w:sz w:val="24"/>
          <w:szCs w:val="24"/>
          <w:lang w:val="en-GB"/>
        </w:rPr>
        <w:t>application</w:t>
      </w:r>
      <w:r w:rsidRPr="006469AF">
        <w:rPr>
          <w:rFonts w:ascii="Times New Roman" w:hAnsi="Times New Roman"/>
          <w:sz w:val="24"/>
          <w:szCs w:val="24"/>
          <w:lang w:val="en-GB"/>
        </w:rPr>
        <w:t xml:space="preserve">s </w:t>
      </w:r>
      <w:r>
        <w:rPr>
          <w:rFonts w:ascii="Times New Roman" w:hAnsi="Times New Roman"/>
          <w:sz w:val="24"/>
          <w:szCs w:val="24"/>
          <w:lang w:val="en-GB"/>
        </w:rPr>
        <w:t xml:space="preserve">by impeding </w:t>
      </w:r>
      <w:r w:rsidRPr="006469AF">
        <w:rPr>
          <w:rFonts w:ascii="Times New Roman" w:hAnsi="Times New Roman"/>
          <w:sz w:val="24"/>
          <w:szCs w:val="24"/>
          <w:lang w:val="en-GB"/>
        </w:rPr>
        <w:t xml:space="preserve">access to the Court should be </w:t>
      </w:r>
      <w:r>
        <w:rPr>
          <w:rFonts w:ascii="Times New Roman" w:hAnsi="Times New Roman"/>
          <w:sz w:val="24"/>
          <w:szCs w:val="24"/>
          <w:lang w:val="en-GB"/>
        </w:rPr>
        <w:t xml:space="preserve">denounced. It is obvious that placing </w:t>
      </w:r>
      <w:r w:rsidRPr="006469AF">
        <w:rPr>
          <w:rFonts w:ascii="Times New Roman" w:hAnsi="Times New Roman"/>
          <w:sz w:val="24"/>
          <w:szCs w:val="24"/>
          <w:lang w:val="en-GB"/>
        </w:rPr>
        <w:t>obstacle</w:t>
      </w:r>
      <w:r>
        <w:rPr>
          <w:rFonts w:ascii="Times New Roman" w:hAnsi="Times New Roman"/>
          <w:sz w:val="24"/>
          <w:szCs w:val="24"/>
          <w:lang w:val="en-GB"/>
        </w:rPr>
        <w:t xml:space="preserve"> in the path</w:t>
      </w:r>
      <w:r w:rsidRPr="006469AF">
        <w:rPr>
          <w:rFonts w:ascii="Times New Roman" w:hAnsi="Times New Roman"/>
          <w:sz w:val="24"/>
          <w:szCs w:val="24"/>
          <w:lang w:val="en-GB"/>
        </w:rPr>
        <w:t xml:space="preserve"> </w:t>
      </w:r>
      <w:r>
        <w:rPr>
          <w:rFonts w:ascii="Times New Roman" w:hAnsi="Times New Roman"/>
          <w:sz w:val="24"/>
          <w:szCs w:val="24"/>
          <w:lang w:val="en-GB"/>
        </w:rPr>
        <w:t xml:space="preserve">of </w:t>
      </w:r>
      <w:r w:rsidRPr="006469AF">
        <w:rPr>
          <w:rFonts w:ascii="Times New Roman" w:hAnsi="Times New Roman"/>
          <w:sz w:val="24"/>
          <w:szCs w:val="24"/>
          <w:lang w:val="en-GB"/>
        </w:rPr>
        <w:t xml:space="preserve">potential </w:t>
      </w:r>
      <w:r>
        <w:rPr>
          <w:rFonts w:ascii="Times New Roman" w:hAnsi="Times New Roman"/>
          <w:sz w:val="24"/>
          <w:szCs w:val="24"/>
          <w:lang w:val="en-GB"/>
        </w:rPr>
        <w:t>claimants</w:t>
      </w:r>
      <w:r w:rsidRPr="006469AF">
        <w:rPr>
          <w:rFonts w:ascii="Times New Roman" w:hAnsi="Times New Roman"/>
          <w:sz w:val="24"/>
          <w:szCs w:val="24"/>
          <w:lang w:val="en-GB"/>
        </w:rPr>
        <w:t xml:space="preserve"> </w:t>
      </w:r>
      <w:r>
        <w:rPr>
          <w:rFonts w:ascii="Times New Roman" w:hAnsi="Times New Roman"/>
          <w:sz w:val="24"/>
          <w:szCs w:val="24"/>
          <w:lang w:val="en-GB"/>
        </w:rPr>
        <w:t xml:space="preserve">will not remove the reasons why the Court has been inundated with applications. </w:t>
      </w:r>
      <w:r>
        <w:rPr>
          <w:rFonts w:ascii="Times New Roman" w:hAnsi="Times New Roman"/>
          <w:sz w:val="24"/>
          <w:szCs w:val="24"/>
          <w:lang w:val="en-US"/>
        </w:rPr>
        <w:t>Notwithstanding the commitment of the Court´s President to take into consideration the special difficulties faced by prisoners,</w:t>
      </w:r>
      <w:r>
        <w:rPr>
          <w:rStyle w:val="Refdenotaderodap"/>
          <w:rFonts w:ascii="Times New Roman" w:hAnsi="Times New Roman"/>
          <w:sz w:val="24"/>
          <w:szCs w:val="24"/>
        </w:rPr>
        <w:footnoteReference w:id="8"/>
      </w:r>
      <w:r w:rsidRPr="006469AF">
        <w:rPr>
          <w:rFonts w:ascii="Times New Roman" w:hAnsi="Times New Roman"/>
          <w:sz w:val="24"/>
          <w:szCs w:val="24"/>
          <w:lang w:val="en-US"/>
        </w:rPr>
        <w:t xml:space="preserve"> the conditions of </w:t>
      </w:r>
      <w:r>
        <w:rPr>
          <w:rFonts w:ascii="Times New Roman" w:hAnsi="Times New Roman"/>
          <w:sz w:val="24"/>
          <w:szCs w:val="24"/>
          <w:lang w:val="en-US"/>
        </w:rPr>
        <w:t xml:space="preserve">the </w:t>
      </w:r>
      <w:r w:rsidRPr="006469AF">
        <w:rPr>
          <w:rFonts w:ascii="Times New Roman" w:hAnsi="Times New Roman"/>
          <w:sz w:val="24"/>
          <w:szCs w:val="24"/>
          <w:lang w:val="en-US"/>
        </w:rPr>
        <w:t>implementation of Article 47</w:t>
      </w:r>
      <w:r>
        <w:rPr>
          <w:rFonts w:ascii="Times New Roman" w:hAnsi="Times New Roman"/>
          <w:sz w:val="24"/>
          <w:szCs w:val="24"/>
          <w:lang w:val="en-US"/>
        </w:rPr>
        <w:t xml:space="preserve"> (Court´s rules) on the introduction of applications are a major concern since they stipulate more restrictive proceedings, particularly with the perspective of the reduced delay of referral to the Court, provided by Protocol No.15. In addition, the pressure exerted by the new procedures for the processing of cases, introduced specifically by Protocol No.14, is clearly discernible, in view of the nature of cases that are subject of an inadmissibility decision given by a single judge. Any further restriction would jeopardize the effectiveness of the right of individual petition.</w:t>
      </w:r>
    </w:p>
    <w:p w:rsidR="00D17F78" w:rsidRPr="00487D23" w:rsidRDefault="00D17F78" w:rsidP="00D17F78">
      <w:pPr>
        <w:pStyle w:val="NormalWeb"/>
        <w:spacing w:after="0"/>
        <w:jc w:val="both"/>
        <w:rPr>
          <w:rFonts w:ascii="Times New Roman" w:hAnsi="Times New Roman"/>
          <w:i/>
          <w:sz w:val="24"/>
          <w:szCs w:val="24"/>
          <w:lang w:val="en-US"/>
        </w:rPr>
      </w:pPr>
      <w:r w:rsidRPr="00487D23">
        <w:rPr>
          <w:rFonts w:ascii="Times New Roman" w:hAnsi="Times New Roman"/>
          <w:sz w:val="24"/>
          <w:szCs w:val="24"/>
          <w:lang w:val="en-US"/>
        </w:rPr>
        <w:t xml:space="preserve">8. As to the proposal of introducing an extinction clause which would lead, after a certain </w:t>
      </w:r>
      <w:r>
        <w:rPr>
          <w:rFonts w:ascii="Times New Roman" w:hAnsi="Times New Roman"/>
          <w:sz w:val="24"/>
          <w:szCs w:val="24"/>
          <w:lang w:val="en-US"/>
        </w:rPr>
        <w:t>period</w:t>
      </w:r>
      <w:r w:rsidRPr="00487D23">
        <w:rPr>
          <w:rFonts w:ascii="Times New Roman" w:hAnsi="Times New Roman"/>
          <w:sz w:val="24"/>
          <w:szCs w:val="24"/>
          <w:lang w:val="en-US"/>
        </w:rPr>
        <w:t xml:space="preserve">, to strike out of the Court’s list </w:t>
      </w:r>
      <w:r>
        <w:rPr>
          <w:rFonts w:ascii="Times New Roman" w:hAnsi="Times New Roman"/>
          <w:sz w:val="24"/>
          <w:szCs w:val="24"/>
          <w:lang w:val="en-US"/>
        </w:rPr>
        <w:t xml:space="preserve">some cases that have not been communicated, it would mean (if accepted) a clear </w:t>
      </w:r>
      <w:r w:rsidRPr="00BB2B56">
        <w:rPr>
          <w:rFonts w:ascii="Times New Roman" w:hAnsi="Times New Roman"/>
          <w:sz w:val="24"/>
          <w:szCs w:val="24"/>
          <w:lang w:val="en-US"/>
        </w:rPr>
        <w:t>renouncement</w:t>
      </w:r>
      <w:r>
        <w:rPr>
          <w:rFonts w:ascii="Times New Roman" w:hAnsi="Times New Roman"/>
          <w:sz w:val="24"/>
          <w:szCs w:val="24"/>
          <w:lang w:val="en-US"/>
        </w:rPr>
        <w:t xml:space="preserve"> at the heart of the Court of the standards of the principle of law simply because of managerial reasons. The Registrar of the Court is willing to deal with the unprocessed load of repetitive cases.</w:t>
      </w:r>
      <w:bookmarkStart w:id="6" w:name="sdfootnote9anc"/>
      <w:r>
        <w:rPr>
          <w:rStyle w:val="Refdenotaderodap"/>
          <w:rFonts w:ascii="Times New Roman" w:hAnsi="Times New Roman"/>
          <w:sz w:val="24"/>
          <w:szCs w:val="24"/>
        </w:rPr>
        <w:footnoteReference w:id="9"/>
      </w:r>
      <w:bookmarkEnd w:id="6"/>
      <w:r>
        <w:rPr>
          <w:rFonts w:ascii="Times New Roman" w:hAnsi="Times New Roman"/>
          <w:sz w:val="24"/>
          <w:szCs w:val="24"/>
          <w:lang w:val="en-US"/>
        </w:rPr>
        <w:t xml:space="preserve"> A temporary exceptional budget of 30 Million euros, </w:t>
      </w:r>
      <w:r>
        <w:rPr>
          <w:rFonts w:ascii="Times New Roman" w:hAnsi="Times New Roman"/>
          <w:sz w:val="24"/>
          <w:szCs w:val="24"/>
          <w:lang w:val="en-US"/>
        </w:rPr>
        <w:lastRenderedPageBreak/>
        <w:t>allocated from 2015-2016, could solve a substantial part of it.</w:t>
      </w:r>
      <w:bookmarkStart w:id="7" w:name="sdfootnote10anc"/>
      <w:r>
        <w:rPr>
          <w:rStyle w:val="Refdenotaderodap"/>
          <w:rFonts w:ascii="Times New Roman" w:hAnsi="Times New Roman"/>
          <w:sz w:val="24"/>
          <w:szCs w:val="24"/>
        </w:rPr>
        <w:footnoteReference w:id="10"/>
      </w:r>
      <w:bookmarkEnd w:id="7"/>
      <w:r>
        <w:rPr>
          <w:rFonts w:ascii="Times New Roman" w:hAnsi="Times New Roman"/>
          <w:sz w:val="24"/>
          <w:szCs w:val="24"/>
          <w:lang w:val="en-US"/>
        </w:rPr>
        <w:t xml:space="preserve"> As stated by the Parliamentary Assembly, member States have here the opportunity to reinforce the public interest in strengthening the efficiency of the Court.</w:t>
      </w:r>
    </w:p>
    <w:p w:rsidR="00D17F78" w:rsidRPr="00AE7C0D" w:rsidRDefault="00D17F78" w:rsidP="00D17F78">
      <w:pPr>
        <w:pStyle w:val="NormalWeb"/>
        <w:spacing w:after="0"/>
        <w:jc w:val="both"/>
        <w:rPr>
          <w:rFonts w:ascii="Times New Roman" w:hAnsi="Times New Roman"/>
          <w:sz w:val="24"/>
          <w:szCs w:val="24"/>
          <w:lang w:val="en-US"/>
        </w:rPr>
      </w:pPr>
      <w:r w:rsidRPr="00AE7C0D">
        <w:rPr>
          <w:rFonts w:ascii="Times New Roman" w:hAnsi="Times New Roman"/>
          <w:sz w:val="24"/>
          <w:szCs w:val="24"/>
          <w:lang w:val="en-US"/>
        </w:rPr>
        <w:t xml:space="preserve">9. </w:t>
      </w:r>
      <w:r>
        <w:rPr>
          <w:rFonts w:ascii="Times New Roman" w:hAnsi="Times New Roman"/>
          <w:sz w:val="24"/>
          <w:szCs w:val="24"/>
          <w:lang w:val="en-US"/>
        </w:rPr>
        <w:t xml:space="preserve">There is the </w:t>
      </w:r>
      <w:r w:rsidRPr="00AE7C0D">
        <w:rPr>
          <w:rFonts w:ascii="Times New Roman" w:hAnsi="Times New Roman"/>
          <w:sz w:val="24"/>
          <w:szCs w:val="24"/>
          <w:lang w:val="en-US"/>
        </w:rPr>
        <w:t xml:space="preserve">proposal to institute </w:t>
      </w:r>
      <w:r>
        <w:rPr>
          <w:rFonts w:ascii="Times New Roman" w:hAnsi="Times New Roman"/>
          <w:sz w:val="24"/>
          <w:szCs w:val="24"/>
          <w:lang w:val="en-US"/>
        </w:rPr>
        <w:t>a 2-step-process</w:t>
      </w:r>
      <w:bookmarkStart w:id="8" w:name="sdfootnote11anc"/>
      <w:r>
        <w:rPr>
          <w:rStyle w:val="Refdenotaderodap"/>
          <w:rFonts w:ascii="Times New Roman" w:hAnsi="Times New Roman"/>
          <w:sz w:val="24"/>
          <w:szCs w:val="24"/>
        </w:rPr>
        <w:footnoteReference w:id="11"/>
      </w:r>
      <w:bookmarkEnd w:id="8"/>
      <w:r>
        <w:rPr>
          <w:rFonts w:ascii="Times New Roman" w:hAnsi="Times New Roman"/>
          <w:sz w:val="24"/>
          <w:szCs w:val="24"/>
          <w:lang w:val="en-US"/>
        </w:rPr>
        <w:t xml:space="preserve">, one dedicated to the treatment of applications as they are currently managed and the other in charge of the constitutional issues where the </w:t>
      </w:r>
      <w:proofErr w:type="spellStart"/>
      <w:r w:rsidRPr="005C6D9F">
        <w:rPr>
          <w:rFonts w:ascii="Times New Roman" w:hAnsi="Times New Roman"/>
          <w:i/>
          <w:sz w:val="24"/>
          <w:szCs w:val="24"/>
          <w:lang w:val="en-US"/>
        </w:rPr>
        <w:t>erga</w:t>
      </w:r>
      <w:proofErr w:type="spellEnd"/>
      <w:r w:rsidRPr="005C6D9F">
        <w:rPr>
          <w:rFonts w:ascii="Times New Roman" w:hAnsi="Times New Roman"/>
          <w:i/>
          <w:sz w:val="24"/>
          <w:szCs w:val="24"/>
          <w:lang w:val="en-US"/>
        </w:rPr>
        <w:t xml:space="preserve"> </w:t>
      </w:r>
      <w:proofErr w:type="spellStart"/>
      <w:r w:rsidRPr="005C6D9F">
        <w:rPr>
          <w:rFonts w:ascii="Times New Roman" w:hAnsi="Times New Roman"/>
          <w:i/>
          <w:sz w:val="24"/>
          <w:szCs w:val="24"/>
          <w:lang w:val="en-US"/>
        </w:rPr>
        <w:t>omnes</w:t>
      </w:r>
      <w:proofErr w:type="spellEnd"/>
      <w:r>
        <w:rPr>
          <w:rFonts w:ascii="Times New Roman" w:hAnsi="Times New Roman"/>
          <w:sz w:val="24"/>
          <w:szCs w:val="24"/>
          <w:lang w:val="en-US"/>
        </w:rPr>
        <w:t xml:space="preserve"> effect would be specifically recognized: it is necessary that the full capacity of the institution shall be preserved in order to contribute to the progressive dynamic interpretation of the Convention, a “living instrument”.</w:t>
      </w:r>
    </w:p>
    <w:p w:rsidR="00D17F78" w:rsidRPr="002C114E" w:rsidRDefault="00D17F78" w:rsidP="00D17F78">
      <w:pPr>
        <w:pStyle w:val="NormalWeb"/>
        <w:spacing w:after="0"/>
        <w:ind w:left="708"/>
        <w:jc w:val="both"/>
        <w:rPr>
          <w:lang w:val="en-US"/>
        </w:rPr>
      </w:pPr>
      <w:r w:rsidRPr="002C114E">
        <w:rPr>
          <w:rFonts w:ascii="Times New Roman" w:hAnsi="Times New Roman"/>
          <w:sz w:val="24"/>
          <w:szCs w:val="24"/>
          <w:lang w:val="en-US"/>
        </w:rPr>
        <w:t xml:space="preserve">2. </w:t>
      </w:r>
      <w:r w:rsidRPr="002C114E">
        <w:rPr>
          <w:rFonts w:ascii="Times New Roman" w:hAnsi="Times New Roman"/>
          <w:sz w:val="24"/>
          <w:szCs w:val="24"/>
          <w:u w:val="single"/>
          <w:lang w:val="en-US"/>
        </w:rPr>
        <w:t xml:space="preserve">On the treatment of repetitive </w:t>
      </w:r>
      <w:r>
        <w:rPr>
          <w:rFonts w:ascii="Times New Roman" w:hAnsi="Times New Roman"/>
          <w:sz w:val="24"/>
          <w:szCs w:val="24"/>
          <w:u w:val="single"/>
          <w:lang w:val="en-US"/>
        </w:rPr>
        <w:t>application</w:t>
      </w:r>
      <w:r w:rsidRPr="002C114E">
        <w:rPr>
          <w:rFonts w:ascii="Times New Roman" w:hAnsi="Times New Roman"/>
          <w:sz w:val="24"/>
          <w:szCs w:val="24"/>
          <w:u w:val="single"/>
          <w:lang w:val="en-US"/>
        </w:rPr>
        <w:t>s: conceive an integrat</w:t>
      </w:r>
      <w:r>
        <w:rPr>
          <w:rFonts w:ascii="Times New Roman" w:hAnsi="Times New Roman"/>
          <w:sz w:val="24"/>
          <w:szCs w:val="24"/>
          <w:u w:val="single"/>
          <w:lang w:val="en-US"/>
        </w:rPr>
        <w:t>ed</w:t>
      </w:r>
      <w:r w:rsidRPr="002C114E">
        <w:rPr>
          <w:rFonts w:ascii="Times New Roman" w:hAnsi="Times New Roman"/>
          <w:sz w:val="24"/>
          <w:szCs w:val="24"/>
          <w:u w:val="single"/>
          <w:lang w:val="en-US"/>
        </w:rPr>
        <w:t xml:space="preserve"> strategy of structural problem solving, including a reform of the monitoring system     </w:t>
      </w:r>
    </w:p>
    <w:p w:rsidR="00D17F78" w:rsidRDefault="00D17F78" w:rsidP="00D17F78">
      <w:pPr>
        <w:pStyle w:val="NormalWeb"/>
        <w:spacing w:after="0"/>
        <w:jc w:val="both"/>
        <w:rPr>
          <w:rFonts w:ascii="Times New Roman" w:hAnsi="Times New Roman"/>
          <w:sz w:val="24"/>
          <w:szCs w:val="24"/>
          <w:lang w:val="en-US"/>
        </w:rPr>
      </w:pPr>
      <w:r w:rsidRPr="002C114E">
        <w:rPr>
          <w:rFonts w:ascii="Times New Roman" w:hAnsi="Times New Roman"/>
          <w:sz w:val="24"/>
          <w:szCs w:val="24"/>
          <w:lang w:val="en-US"/>
        </w:rPr>
        <w:t>10. The overall success of the reform process depends on its capacity to imp</w:t>
      </w:r>
      <w:r>
        <w:rPr>
          <w:rFonts w:ascii="Times New Roman" w:hAnsi="Times New Roman"/>
          <w:sz w:val="24"/>
          <w:szCs w:val="24"/>
          <w:lang w:val="en-US"/>
        </w:rPr>
        <w:t>lement</w:t>
      </w:r>
      <w:r w:rsidRPr="002C114E">
        <w:rPr>
          <w:rFonts w:ascii="Times New Roman" w:hAnsi="Times New Roman"/>
          <w:sz w:val="24"/>
          <w:szCs w:val="24"/>
          <w:lang w:val="en-US"/>
        </w:rPr>
        <w:t xml:space="preserve"> a clear reinforcement of the efficiency of the decisions´ monitoring system.</w:t>
      </w:r>
      <w:r>
        <w:rPr>
          <w:rStyle w:val="Refdenotaderodap"/>
          <w:rFonts w:ascii="Times New Roman" w:hAnsi="Times New Roman"/>
          <w:sz w:val="24"/>
          <w:szCs w:val="24"/>
        </w:rPr>
        <w:footnoteReference w:id="12"/>
      </w:r>
      <w:r>
        <w:rPr>
          <w:rFonts w:ascii="Times New Roman" w:hAnsi="Times New Roman"/>
          <w:sz w:val="24"/>
          <w:szCs w:val="24"/>
          <w:lang w:val="en-US"/>
        </w:rPr>
        <w:t xml:space="preserve"> The Brussels’ Declaration must state, louder and clearer than the Brighton </w:t>
      </w:r>
      <w:proofErr w:type="gramStart"/>
      <w:r>
        <w:rPr>
          <w:rFonts w:ascii="Times New Roman" w:hAnsi="Times New Roman"/>
          <w:sz w:val="24"/>
          <w:szCs w:val="24"/>
          <w:lang w:val="en-US"/>
        </w:rPr>
        <w:t>one, that</w:t>
      </w:r>
      <w:proofErr w:type="gramEnd"/>
      <w:r>
        <w:rPr>
          <w:rFonts w:ascii="Times New Roman" w:hAnsi="Times New Roman"/>
          <w:sz w:val="24"/>
          <w:szCs w:val="24"/>
          <w:lang w:val="en-US"/>
        </w:rPr>
        <w:t xml:space="preserve"> the resolution of chronic violations of the Convention falls firstly to national authorities. Likewise, it falls under their responsibility to inform the general public as well as administrative and judicial organs about the sense and the impact of conventional rules. National authorities shall also guarantee these rules, but also protect the Court from any smear campaign as it is too often the case and which weaken the Court´s decisions.</w:t>
      </w:r>
    </w:p>
    <w:p w:rsidR="00D17F78" w:rsidRPr="007F638A" w:rsidRDefault="00D17F78" w:rsidP="00D17F78">
      <w:pPr>
        <w:pStyle w:val="NormalWeb"/>
        <w:spacing w:after="0"/>
        <w:jc w:val="both"/>
        <w:rPr>
          <w:rFonts w:ascii="Times New Roman" w:hAnsi="Times New Roman"/>
          <w:i/>
          <w:sz w:val="24"/>
          <w:szCs w:val="24"/>
          <w:lang w:val="en-US"/>
        </w:rPr>
      </w:pPr>
      <w:r w:rsidRPr="007F638A">
        <w:rPr>
          <w:rFonts w:ascii="Times New Roman" w:hAnsi="Times New Roman"/>
          <w:i/>
          <w:sz w:val="24"/>
          <w:szCs w:val="24"/>
          <w:lang w:val="en-US"/>
        </w:rPr>
        <w:t xml:space="preserve">2.1. On the strategy of the Council of Europe </w:t>
      </w:r>
      <w:r>
        <w:rPr>
          <w:rFonts w:ascii="Times New Roman" w:hAnsi="Times New Roman"/>
          <w:i/>
          <w:sz w:val="24"/>
          <w:szCs w:val="24"/>
          <w:lang w:val="en-US"/>
        </w:rPr>
        <w:t>ce</w:t>
      </w:r>
      <w:r w:rsidRPr="007F638A">
        <w:rPr>
          <w:rFonts w:ascii="Times New Roman" w:hAnsi="Times New Roman"/>
          <w:i/>
          <w:sz w:val="24"/>
          <w:szCs w:val="24"/>
          <w:lang w:val="en-US"/>
        </w:rPr>
        <w:t xml:space="preserve">ntered on the reinforcement </w:t>
      </w:r>
      <w:r>
        <w:rPr>
          <w:rFonts w:ascii="Times New Roman" w:hAnsi="Times New Roman"/>
          <w:i/>
          <w:sz w:val="24"/>
          <w:szCs w:val="24"/>
          <w:lang w:val="en-US"/>
        </w:rPr>
        <w:t>of an efficient remedy right</w:t>
      </w:r>
    </w:p>
    <w:p w:rsidR="00D17F78" w:rsidRPr="00487D23" w:rsidRDefault="00D17F78" w:rsidP="00D17F78">
      <w:pPr>
        <w:pStyle w:val="NormalWeb"/>
        <w:spacing w:after="0"/>
        <w:jc w:val="both"/>
        <w:rPr>
          <w:sz w:val="24"/>
          <w:szCs w:val="24"/>
          <w:lang w:val="en-US"/>
        </w:rPr>
      </w:pPr>
      <w:r w:rsidRPr="00D42D77">
        <w:rPr>
          <w:rFonts w:ascii="Times New Roman" w:hAnsi="Times New Roman"/>
          <w:sz w:val="24"/>
          <w:szCs w:val="24"/>
          <w:lang w:val="en-US"/>
        </w:rPr>
        <w:t>11. The current discussions shall then lead to develop an integrated and</w:t>
      </w:r>
      <w:r>
        <w:rPr>
          <w:rFonts w:ascii="Times New Roman" w:hAnsi="Times New Roman"/>
          <w:sz w:val="24"/>
          <w:szCs w:val="24"/>
          <w:lang w:val="en-US"/>
        </w:rPr>
        <w:t xml:space="preserve"> coherent strategy for the proper execution of decisions that highlight the huge national discrepancies. As to prison issues, the signatory organisations note with satisfaction that the organs of the Council of Europe pursue </w:t>
      </w:r>
      <w:proofErr w:type="spellStart"/>
      <w:r>
        <w:rPr>
          <w:rFonts w:ascii="Times New Roman" w:hAnsi="Times New Roman"/>
          <w:sz w:val="24"/>
          <w:szCs w:val="24"/>
          <w:lang w:val="en-US"/>
        </w:rPr>
        <w:t>co-ordinated</w:t>
      </w:r>
      <w:proofErr w:type="spellEnd"/>
      <w:r>
        <w:rPr>
          <w:rFonts w:ascii="Times New Roman" w:hAnsi="Times New Roman"/>
          <w:sz w:val="24"/>
          <w:szCs w:val="24"/>
          <w:lang w:val="en-US"/>
        </w:rPr>
        <w:t xml:space="preserve"> action aimed at strengthening the internal remedies of prisoners. This concerns the development of procedural obligations in the Court´s jurisprudence and the efforts made by the Committee of Ministries or by the General Secretary</w:t>
      </w:r>
      <w:hyperlink w:anchor="sdfootnote12sym" w:history="1">
        <w:r w:rsidRPr="00D42D77">
          <w:rPr>
            <w:rStyle w:val="Hiperligao"/>
            <w:rFonts w:ascii="Times New Roman" w:hAnsi="Times New Roman"/>
            <w:color w:val="auto"/>
            <w:sz w:val="24"/>
            <w:szCs w:val="24"/>
            <w:u w:val="none"/>
            <w:vertAlign w:val="superscript"/>
            <w:lang w:val="en-US"/>
          </w:rPr>
          <w:t>12</w:t>
        </w:r>
      </w:hyperlink>
      <w:r w:rsidRPr="00D42D77">
        <w:rPr>
          <w:sz w:val="24"/>
          <w:szCs w:val="24"/>
          <w:lang w:val="en-US"/>
        </w:rPr>
        <w:t xml:space="preserve"> to</w:t>
      </w:r>
      <w:r>
        <w:rPr>
          <w:sz w:val="24"/>
          <w:szCs w:val="24"/>
          <w:lang w:val="en-US"/>
        </w:rPr>
        <w:t xml:space="preserve"> bring member States to respect the standards of efficient remedy. The signatory organisations are determined to take their responsibility for aiming to shape article 13 of the Convention as a p special resource in prison issues. There are t</w:t>
      </w:r>
      <w:r w:rsidRPr="00487D23">
        <w:rPr>
          <w:sz w:val="24"/>
          <w:szCs w:val="24"/>
          <w:lang w:val="en-US"/>
        </w:rPr>
        <w:t xml:space="preserve">wo </w:t>
      </w:r>
      <w:r>
        <w:rPr>
          <w:sz w:val="24"/>
          <w:szCs w:val="24"/>
          <w:lang w:val="en-US"/>
        </w:rPr>
        <w:t>comments to make in relation to this issue.</w:t>
      </w:r>
    </w:p>
    <w:p w:rsidR="00D17F78" w:rsidRPr="00410260" w:rsidRDefault="00D17F78" w:rsidP="00D17F78">
      <w:pPr>
        <w:pStyle w:val="NormalWeb"/>
        <w:spacing w:after="0"/>
        <w:jc w:val="both"/>
        <w:rPr>
          <w:rFonts w:ascii="Times New Roman" w:hAnsi="Times New Roman"/>
          <w:sz w:val="24"/>
          <w:szCs w:val="24"/>
          <w:lang w:val="en-US"/>
        </w:rPr>
      </w:pPr>
      <w:r w:rsidRPr="00410260">
        <w:rPr>
          <w:rFonts w:ascii="Times New Roman" w:hAnsi="Times New Roman"/>
          <w:sz w:val="24"/>
          <w:szCs w:val="24"/>
          <w:lang w:val="en-US"/>
        </w:rPr>
        <w:t xml:space="preserve">12. In the first place, </w:t>
      </w:r>
      <w:r>
        <w:rPr>
          <w:rFonts w:ascii="Times New Roman" w:hAnsi="Times New Roman"/>
          <w:sz w:val="24"/>
          <w:szCs w:val="24"/>
          <w:lang w:val="en-US"/>
        </w:rPr>
        <w:t>the</w:t>
      </w:r>
      <w:r w:rsidRPr="00410260">
        <w:rPr>
          <w:rFonts w:ascii="Times New Roman" w:hAnsi="Times New Roman"/>
          <w:sz w:val="24"/>
          <w:szCs w:val="24"/>
          <w:lang w:val="en-US"/>
        </w:rPr>
        <w:t xml:space="preserve"> mechanisms</w:t>
      </w:r>
      <w:r>
        <w:rPr>
          <w:rFonts w:ascii="Times New Roman" w:hAnsi="Times New Roman"/>
          <w:sz w:val="24"/>
          <w:szCs w:val="24"/>
          <w:lang w:val="en-US"/>
        </w:rPr>
        <w:t xml:space="preserve"> to achieve remedies in prison are only effective if they take into account the impoverished financial and legal resources of the prison population. Member States shall be required to ensure that judicial remedies are actually accessible to detainees that detainees have proper protection from </w:t>
      </w:r>
      <w:proofErr w:type="spellStart"/>
      <w:r>
        <w:rPr>
          <w:rFonts w:ascii="Times New Roman" w:hAnsi="Times New Roman"/>
          <w:sz w:val="24"/>
          <w:szCs w:val="24"/>
          <w:lang w:val="en-US"/>
        </w:rPr>
        <w:t>victimisation</w:t>
      </w:r>
      <w:proofErr w:type="spellEnd"/>
      <w:r>
        <w:rPr>
          <w:rFonts w:ascii="Times New Roman" w:hAnsi="Times New Roman"/>
          <w:sz w:val="24"/>
          <w:szCs w:val="24"/>
          <w:lang w:val="en-US"/>
        </w:rPr>
        <w:t xml:space="preserve"> and retaliation measures if they pursue a complaint. The content of formulated European standards in this area must reflect these practical facts.</w:t>
      </w:r>
    </w:p>
    <w:p w:rsidR="00D17F78" w:rsidRPr="001019DB" w:rsidRDefault="00D17F78" w:rsidP="00D17F78">
      <w:pPr>
        <w:pStyle w:val="NormalWeb"/>
        <w:spacing w:after="0"/>
        <w:jc w:val="both"/>
        <w:rPr>
          <w:rFonts w:ascii="Times New Roman" w:hAnsi="Times New Roman"/>
          <w:sz w:val="24"/>
          <w:szCs w:val="24"/>
          <w:lang w:val="en-US"/>
        </w:rPr>
      </w:pPr>
      <w:r w:rsidRPr="001019DB">
        <w:rPr>
          <w:rFonts w:ascii="Times New Roman" w:hAnsi="Times New Roman"/>
          <w:sz w:val="24"/>
          <w:szCs w:val="24"/>
          <w:lang w:val="en-US"/>
        </w:rPr>
        <w:t xml:space="preserve">13. Secondly, it is illusory to believe that the implementation of </w:t>
      </w:r>
      <w:r>
        <w:rPr>
          <w:rFonts w:ascii="Times New Roman" w:hAnsi="Times New Roman"/>
          <w:sz w:val="24"/>
          <w:szCs w:val="24"/>
          <w:lang w:val="en-US"/>
        </w:rPr>
        <w:t xml:space="preserve">effective remedies for prisoners can alone lead to an eradication of serious violations of the Convention as observed in prison systems of several member States. The burden of solving structural problems shall not rest on prisoners´ back but rather must be taken on as a positive obligation by member States. In relation to the commitment to eradicate inhuman and degrading treatment or punishment, they must be obliged to modify their penal policies and practices as to the use of prison use, e.g. both </w:t>
      </w:r>
      <w:proofErr w:type="gramStart"/>
      <w:r>
        <w:rPr>
          <w:rFonts w:ascii="Times New Roman" w:hAnsi="Times New Roman"/>
          <w:sz w:val="24"/>
          <w:szCs w:val="24"/>
          <w:lang w:val="en-US"/>
        </w:rPr>
        <w:lastRenderedPageBreak/>
        <w:t>imprisonment</w:t>
      </w:r>
      <w:proofErr w:type="gramEnd"/>
      <w:r>
        <w:rPr>
          <w:rFonts w:ascii="Times New Roman" w:hAnsi="Times New Roman"/>
          <w:sz w:val="24"/>
          <w:szCs w:val="24"/>
          <w:lang w:val="en-US"/>
        </w:rPr>
        <w:t xml:space="preserve"> itself or its length. All concerned organs of the Council of Europe shall strongly be involved in this process.</w:t>
      </w:r>
    </w:p>
    <w:p w:rsidR="00D17F78" w:rsidRPr="00F71CB4" w:rsidRDefault="00D17F78" w:rsidP="00D17F78">
      <w:pPr>
        <w:pStyle w:val="NormalWeb"/>
        <w:spacing w:after="0"/>
        <w:jc w:val="both"/>
        <w:rPr>
          <w:rFonts w:ascii="Times New Roman" w:hAnsi="Times New Roman"/>
          <w:sz w:val="24"/>
          <w:szCs w:val="24"/>
          <w:lang w:val="en-GB"/>
        </w:rPr>
      </w:pPr>
      <w:r w:rsidRPr="00BD72ED">
        <w:rPr>
          <w:rFonts w:eastAsia="Times New Roman"/>
          <w:sz w:val="24"/>
          <w:szCs w:val="24"/>
          <w:lang w:val="en-GB"/>
        </w:rPr>
        <w:t xml:space="preserve"> </w:t>
      </w:r>
      <w:r w:rsidRPr="00BD72ED">
        <w:rPr>
          <w:rFonts w:ascii="Times New Roman" w:hAnsi="Times New Roman"/>
          <w:i/>
          <w:sz w:val="24"/>
          <w:szCs w:val="24"/>
          <w:lang w:val="en-GB"/>
        </w:rPr>
        <w:t xml:space="preserve">2.2. </w:t>
      </w:r>
      <w:r>
        <w:rPr>
          <w:rFonts w:ascii="Times New Roman" w:hAnsi="Times New Roman"/>
          <w:i/>
          <w:sz w:val="24"/>
          <w:szCs w:val="24"/>
          <w:lang w:val="en-GB"/>
        </w:rPr>
        <w:t xml:space="preserve">Considerations on </w:t>
      </w:r>
      <w:r w:rsidRPr="00BD72ED">
        <w:rPr>
          <w:rFonts w:ascii="Times New Roman" w:hAnsi="Times New Roman"/>
          <w:i/>
          <w:sz w:val="24"/>
          <w:szCs w:val="24"/>
          <w:lang w:val="en-GB"/>
        </w:rPr>
        <w:t xml:space="preserve">the </w:t>
      </w:r>
      <w:r>
        <w:rPr>
          <w:rFonts w:ascii="Times New Roman" w:hAnsi="Times New Roman"/>
          <w:i/>
          <w:sz w:val="24"/>
          <w:szCs w:val="24"/>
          <w:lang w:val="en-GB"/>
        </w:rPr>
        <w:t>supervision</w:t>
      </w:r>
      <w:r w:rsidRPr="00BD72ED">
        <w:rPr>
          <w:rFonts w:ascii="Times New Roman" w:hAnsi="Times New Roman"/>
          <w:i/>
          <w:sz w:val="24"/>
          <w:szCs w:val="24"/>
          <w:lang w:val="en-GB"/>
        </w:rPr>
        <w:t xml:space="preserve"> process of </w:t>
      </w:r>
      <w:r>
        <w:rPr>
          <w:rFonts w:ascii="Times New Roman" w:hAnsi="Times New Roman"/>
          <w:i/>
          <w:sz w:val="24"/>
          <w:szCs w:val="24"/>
          <w:lang w:val="en-GB"/>
        </w:rPr>
        <w:t>the execution of judgements and decisions</w:t>
      </w:r>
    </w:p>
    <w:p w:rsidR="00D17F78" w:rsidRPr="004635D4" w:rsidRDefault="00D17F78" w:rsidP="00D17F78">
      <w:pPr>
        <w:pStyle w:val="NormalWeb"/>
        <w:spacing w:after="0"/>
        <w:jc w:val="both"/>
        <w:rPr>
          <w:rFonts w:ascii="Times New Roman" w:hAnsi="Times New Roman"/>
          <w:sz w:val="24"/>
          <w:szCs w:val="24"/>
          <w:lang w:val="en-GB"/>
        </w:rPr>
      </w:pPr>
      <w:r w:rsidRPr="00AC225D">
        <w:rPr>
          <w:rFonts w:ascii="Times New Roman" w:hAnsi="Times New Roman"/>
          <w:sz w:val="24"/>
          <w:szCs w:val="24"/>
          <w:lang w:val="en-GB"/>
        </w:rPr>
        <w:t>1</w:t>
      </w:r>
      <w:r>
        <w:rPr>
          <w:rFonts w:ascii="Times New Roman" w:hAnsi="Times New Roman"/>
          <w:sz w:val="24"/>
          <w:szCs w:val="24"/>
          <w:lang w:val="en-GB"/>
        </w:rPr>
        <w:t>4</w:t>
      </w:r>
      <w:r w:rsidRPr="00AC225D">
        <w:rPr>
          <w:rFonts w:ascii="Times New Roman" w:hAnsi="Times New Roman"/>
          <w:sz w:val="24"/>
          <w:szCs w:val="24"/>
          <w:lang w:val="en-GB"/>
        </w:rPr>
        <w:t xml:space="preserve">. </w:t>
      </w:r>
      <w:r w:rsidRPr="002A24DF">
        <w:rPr>
          <w:rFonts w:ascii="Times New Roman" w:hAnsi="Times New Roman"/>
          <w:sz w:val="24"/>
          <w:szCs w:val="24"/>
          <w:lang w:val="en-GB"/>
        </w:rPr>
        <w:t xml:space="preserve">As far as the </w:t>
      </w:r>
      <w:r>
        <w:rPr>
          <w:rFonts w:ascii="Times New Roman" w:hAnsi="Times New Roman"/>
          <w:sz w:val="24"/>
          <w:szCs w:val="24"/>
          <w:lang w:val="en-GB"/>
        </w:rPr>
        <w:t>supervision process of the execution of judgements and decisions is concerned, it seems that, taking into consideration its means and structure, it is not capable of tackling the challenges posed by the deterioration</w:t>
      </w:r>
      <w:r w:rsidRPr="00BD72ED">
        <w:rPr>
          <w:rFonts w:ascii="Times New Roman" w:hAnsi="Times New Roman"/>
          <w:sz w:val="24"/>
          <w:szCs w:val="24"/>
          <w:lang w:val="en-GB"/>
        </w:rPr>
        <w:t xml:space="preserve"> of </w:t>
      </w:r>
      <w:r>
        <w:rPr>
          <w:rFonts w:ascii="Times New Roman" w:hAnsi="Times New Roman"/>
          <w:sz w:val="24"/>
          <w:szCs w:val="24"/>
          <w:lang w:val="en-GB"/>
        </w:rPr>
        <w:t xml:space="preserve">the </w:t>
      </w:r>
      <w:r w:rsidRPr="00BD72ED">
        <w:rPr>
          <w:rFonts w:ascii="Times New Roman" w:hAnsi="Times New Roman"/>
          <w:sz w:val="24"/>
          <w:szCs w:val="24"/>
          <w:lang w:val="en-GB"/>
        </w:rPr>
        <w:t>problem</w:t>
      </w:r>
      <w:r>
        <w:rPr>
          <w:rFonts w:ascii="Times New Roman" w:hAnsi="Times New Roman"/>
          <w:sz w:val="24"/>
          <w:szCs w:val="24"/>
          <w:lang w:val="en-GB"/>
        </w:rPr>
        <w:t xml:space="preserve"> concerning</w:t>
      </w:r>
      <w:r w:rsidRPr="00962DCC">
        <w:rPr>
          <w:rFonts w:ascii="Times New Roman" w:hAnsi="Times New Roman"/>
          <w:sz w:val="24"/>
          <w:szCs w:val="24"/>
          <w:lang w:val="en-GB"/>
        </w:rPr>
        <w:t xml:space="preserve"> </w:t>
      </w:r>
      <w:r w:rsidRPr="00BD72ED">
        <w:rPr>
          <w:rFonts w:ascii="Times New Roman" w:hAnsi="Times New Roman"/>
          <w:sz w:val="24"/>
          <w:szCs w:val="24"/>
          <w:lang w:val="en-GB"/>
        </w:rPr>
        <w:t xml:space="preserve">repetitive </w:t>
      </w:r>
      <w:r>
        <w:rPr>
          <w:rFonts w:ascii="Times New Roman" w:hAnsi="Times New Roman"/>
          <w:sz w:val="24"/>
          <w:szCs w:val="24"/>
          <w:lang w:val="en-GB"/>
        </w:rPr>
        <w:t>applications</w:t>
      </w:r>
      <w:r w:rsidRPr="00BD72ED">
        <w:rPr>
          <w:rFonts w:ascii="Times New Roman" w:hAnsi="Times New Roman"/>
          <w:sz w:val="24"/>
          <w:szCs w:val="24"/>
          <w:lang w:val="en-GB"/>
        </w:rPr>
        <w:t xml:space="preserve">. </w:t>
      </w:r>
      <w:r>
        <w:rPr>
          <w:rFonts w:ascii="Times New Roman" w:hAnsi="Times New Roman"/>
          <w:sz w:val="24"/>
          <w:szCs w:val="24"/>
          <w:lang w:val="en-GB"/>
        </w:rPr>
        <w:t>O</w:t>
      </w:r>
      <w:r w:rsidRPr="00BD72ED">
        <w:rPr>
          <w:rFonts w:ascii="Times New Roman" w:hAnsi="Times New Roman"/>
          <w:sz w:val="24"/>
          <w:szCs w:val="24"/>
          <w:lang w:val="en-GB"/>
        </w:rPr>
        <w:t xml:space="preserve">rganisations are </w:t>
      </w:r>
      <w:r>
        <w:rPr>
          <w:rFonts w:ascii="Times New Roman" w:hAnsi="Times New Roman"/>
          <w:sz w:val="24"/>
          <w:szCs w:val="24"/>
          <w:lang w:val="en-GB"/>
        </w:rPr>
        <w:t>aware of the fact that, in the framework of said monitoring process of the execution of judgements</w:t>
      </w:r>
      <w:r w:rsidRPr="00BD72ED">
        <w:rPr>
          <w:rFonts w:ascii="Times New Roman" w:hAnsi="Times New Roman"/>
          <w:sz w:val="24"/>
          <w:szCs w:val="24"/>
          <w:lang w:val="en-GB"/>
        </w:rPr>
        <w:t xml:space="preserve">, the </w:t>
      </w:r>
      <w:r>
        <w:rPr>
          <w:rFonts w:ascii="Times New Roman" w:hAnsi="Times New Roman"/>
          <w:sz w:val="24"/>
          <w:szCs w:val="24"/>
          <w:lang w:val="en-GB"/>
        </w:rPr>
        <w:t xml:space="preserve">scope of cooperation and the exchange of experiences is of utmost importance. </w:t>
      </w:r>
      <w:r w:rsidRPr="00BD72ED">
        <w:rPr>
          <w:rFonts w:ascii="Times New Roman" w:hAnsi="Times New Roman"/>
          <w:sz w:val="24"/>
          <w:szCs w:val="24"/>
          <w:lang w:val="en-GB"/>
        </w:rPr>
        <w:t xml:space="preserve">Nevertheless, this process </w:t>
      </w:r>
      <w:r>
        <w:rPr>
          <w:rFonts w:ascii="Times New Roman" w:hAnsi="Times New Roman"/>
          <w:sz w:val="24"/>
          <w:szCs w:val="24"/>
          <w:lang w:val="en-GB"/>
        </w:rPr>
        <w:t xml:space="preserve">does not pay proper </w:t>
      </w:r>
      <w:r w:rsidRPr="00BD72ED">
        <w:rPr>
          <w:rFonts w:ascii="Times New Roman" w:hAnsi="Times New Roman"/>
          <w:sz w:val="24"/>
          <w:szCs w:val="24"/>
          <w:lang w:val="en-GB"/>
        </w:rPr>
        <w:t>attention to t</w:t>
      </w:r>
      <w:r>
        <w:rPr>
          <w:rFonts w:ascii="Times New Roman" w:hAnsi="Times New Roman"/>
          <w:sz w:val="24"/>
          <w:szCs w:val="24"/>
          <w:lang w:val="en-GB"/>
        </w:rPr>
        <w:t>he effectiveness of</w:t>
      </w:r>
      <w:r w:rsidRPr="00BD72ED">
        <w:rPr>
          <w:rFonts w:ascii="Times New Roman" w:hAnsi="Times New Roman"/>
          <w:sz w:val="24"/>
          <w:szCs w:val="24"/>
          <w:lang w:val="en-GB"/>
        </w:rPr>
        <w:t xml:space="preserve"> </w:t>
      </w:r>
      <w:r>
        <w:rPr>
          <w:rFonts w:ascii="Times New Roman" w:hAnsi="Times New Roman"/>
          <w:sz w:val="24"/>
          <w:szCs w:val="24"/>
          <w:lang w:val="en-GB"/>
        </w:rPr>
        <w:t xml:space="preserve">the </w:t>
      </w:r>
      <w:r w:rsidRPr="00BD72ED">
        <w:rPr>
          <w:rFonts w:ascii="Times New Roman" w:hAnsi="Times New Roman"/>
          <w:sz w:val="24"/>
          <w:szCs w:val="24"/>
          <w:lang w:val="en-GB"/>
        </w:rPr>
        <w:t xml:space="preserve">measures taken by States to </w:t>
      </w:r>
      <w:r>
        <w:rPr>
          <w:rFonts w:ascii="Times New Roman" w:hAnsi="Times New Roman"/>
          <w:sz w:val="24"/>
          <w:szCs w:val="24"/>
          <w:lang w:val="en-GB"/>
        </w:rPr>
        <w:t>address</w:t>
      </w:r>
      <w:r w:rsidRPr="00BD72ED">
        <w:rPr>
          <w:rFonts w:ascii="Times New Roman" w:hAnsi="Times New Roman"/>
          <w:sz w:val="24"/>
          <w:szCs w:val="24"/>
          <w:lang w:val="en-GB"/>
        </w:rPr>
        <w:t xml:space="preserve"> </w:t>
      </w:r>
      <w:r>
        <w:rPr>
          <w:rFonts w:ascii="Times New Roman" w:hAnsi="Times New Roman"/>
          <w:sz w:val="24"/>
          <w:szCs w:val="24"/>
          <w:lang w:val="en-GB"/>
        </w:rPr>
        <w:t xml:space="preserve">the </w:t>
      </w:r>
      <w:r w:rsidRPr="00BD72ED">
        <w:rPr>
          <w:rFonts w:ascii="Times New Roman" w:hAnsi="Times New Roman"/>
          <w:sz w:val="24"/>
          <w:szCs w:val="24"/>
          <w:lang w:val="en-GB"/>
        </w:rPr>
        <w:t>violations</w:t>
      </w:r>
      <w:r>
        <w:rPr>
          <w:rFonts w:ascii="Times New Roman" w:hAnsi="Times New Roman"/>
          <w:sz w:val="24"/>
          <w:szCs w:val="24"/>
          <w:lang w:val="en-GB"/>
        </w:rPr>
        <w:t xml:space="preserve"> that have been brought to light and by the Court</w:t>
      </w:r>
      <w:r w:rsidRPr="00BD72ED">
        <w:rPr>
          <w:rFonts w:ascii="Times New Roman" w:hAnsi="Times New Roman"/>
          <w:sz w:val="24"/>
          <w:szCs w:val="24"/>
          <w:lang w:val="en-GB"/>
        </w:rPr>
        <w:t xml:space="preserve">. </w:t>
      </w:r>
    </w:p>
    <w:p w:rsidR="00D17F78" w:rsidRPr="00BD72ED" w:rsidRDefault="00D17F78" w:rsidP="00D17F78">
      <w:pPr>
        <w:pStyle w:val="NormalWeb"/>
        <w:spacing w:after="0"/>
        <w:jc w:val="both"/>
        <w:rPr>
          <w:rFonts w:ascii="Times New Roman" w:hAnsi="Times New Roman"/>
          <w:sz w:val="24"/>
          <w:szCs w:val="24"/>
          <w:lang w:val="en-GB"/>
        </w:rPr>
      </w:pPr>
      <w:r w:rsidRPr="00AC225D">
        <w:rPr>
          <w:rFonts w:ascii="Times New Roman" w:hAnsi="Times New Roman"/>
          <w:sz w:val="24"/>
          <w:szCs w:val="24"/>
          <w:lang w:val="en-GB"/>
        </w:rPr>
        <w:t>1</w:t>
      </w:r>
      <w:r>
        <w:rPr>
          <w:rFonts w:ascii="Times New Roman" w:hAnsi="Times New Roman"/>
          <w:sz w:val="24"/>
          <w:szCs w:val="24"/>
          <w:lang w:val="en-GB"/>
        </w:rPr>
        <w:t>5</w:t>
      </w:r>
      <w:r w:rsidRPr="00AC225D">
        <w:rPr>
          <w:rFonts w:ascii="Times New Roman" w:hAnsi="Times New Roman"/>
          <w:sz w:val="24"/>
          <w:szCs w:val="24"/>
          <w:lang w:val="en-GB"/>
        </w:rPr>
        <w:t xml:space="preserve">. </w:t>
      </w:r>
      <w:r w:rsidRPr="002512B5">
        <w:rPr>
          <w:rFonts w:ascii="Times New Roman" w:hAnsi="Times New Roman"/>
          <w:sz w:val="24"/>
          <w:szCs w:val="24"/>
          <w:lang w:val="en-GB"/>
        </w:rPr>
        <w:t>T</w:t>
      </w:r>
      <w:r>
        <w:rPr>
          <w:rFonts w:ascii="Times New Roman" w:hAnsi="Times New Roman"/>
          <w:sz w:val="24"/>
          <w:szCs w:val="24"/>
          <w:lang w:val="en-GB"/>
        </w:rPr>
        <w:t>he organis</w:t>
      </w:r>
      <w:r w:rsidRPr="00BD72ED">
        <w:rPr>
          <w:rFonts w:ascii="Times New Roman" w:hAnsi="Times New Roman"/>
          <w:sz w:val="24"/>
          <w:szCs w:val="24"/>
          <w:lang w:val="en-GB"/>
        </w:rPr>
        <w:t xml:space="preserve">ations consider that the </w:t>
      </w:r>
      <w:r w:rsidRPr="00F71CB4">
        <w:rPr>
          <w:rFonts w:ascii="Times New Roman" w:hAnsi="Times New Roman"/>
          <w:sz w:val="24"/>
          <w:szCs w:val="24"/>
          <w:lang w:val="en-GB"/>
        </w:rPr>
        <w:t>Department for the Execution of Judgments</w:t>
      </w:r>
      <w:r>
        <w:rPr>
          <w:rFonts w:ascii="Times New Roman" w:hAnsi="Times New Roman"/>
          <w:sz w:val="24"/>
          <w:szCs w:val="24"/>
          <w:lang w:val="en-GB"/>
        </w:rPr>
        <w:t xml:space="preserve"> should have its </w:t>
      </w:r>
      <w:r w:rsidRPr="00BD72ED">
        <w:rPr>
          <w:rFonts w:ascii="Times New Roman" w:hAnsi="Times New Roman"/>
          <w:sz w:val="24"/>
          <w:szCs w:val="24"/>
          <w:lang w:val="en-GB"/>
        </w:rPr>
        <w:t xml:space="preserve">resources </w:t>
      </w:r>
      <w:r>
        <w:rPr>
          <w:rFonts w:ascii="Times New Roman" w:hAnsi="Times New Roman"/>
          <w:sz w:val="24"/>
          <w:szCs w:val="24"/>
          <w:lang w:val="en-GB"/>
        </w:rPr>
        <w:t xml:space="preserve">and </w:t>
      </w:r>
      <w:r w:rsidRPr="00BD72ED">
        <w:rPr>
          <w:rFonts w:ascii="Times New Roman" w:hAnsi="Times New Roman"/>
          <w:sz w:val="24"/>
          <w:szCs w:val="24"/>
          <w:lang w:val="en-GB"/>
        </w:rPr>
        <w:t>autonomy</w:t>
      </w:r>
      <w:r>
        <w:rPr>
          <w:rFonts w:ascii="Times New Roman" w:hAnsi="Times New Roman"/>
          <w:sz w:val="24"/>
          <w:szCs w:val="24"/>
          <w:lang w:val="en-GB"/>
        </w:rPr>
        <w:t xml:space="preserve"> greatly increased</w:t>
      </w:r>
      <w:r w:rsidRPr="00BD72ED">
        <w:rPr>
          <w:rFonts w:ascii="Times New Roman" w:hAnsi="Times New Roman"/>
          <w:sz w:val="24"/>
          <w:szCs w:val="24"/>
          <w:lang w:val="en-GB"/>
        </w:rPr>
        <w:t>. Its current situation, both</w:t>
      </w:r>
      <w:r>
        <w:rPr>
          <w:rFonts w:ascii="Times New Roman" w:hAnsi="Times New Roman"/>
          <w:sz w:val="24"/>
          <w:szCs w:val="24"/>
          <w:lang w:val="en-GB"/>
        </w:rPr>
        <w:t xml:space="preserve"> from a material</w:t>
      </w:r>
      <w:r>
        <w:rPr>
          <w:rStyle w:val="Refdenotaderodap"/>
          <w:rFonts w:ascii="Times New Roman" w:hAnsi="Times New Roman"/>
          <w:sz w:val="24"/>
          <w:szCs w:val="24"/>
        </w:rPr>
        <w:footnoteReference w:id="13"/>
      </w:r>
      <w:r w:rsidRPr="008B6934">
        <w:rPr>
          <w:rFonts w:ascii="Times New Roman" w:hAnsi="Times New Roman"/>
          <w:sz w:val="24"/>
          <w:szCs w:val="24"/>
          <w:lang w:val="en-GB"/>
        </w:rPr>
        <w:t xml:space="preserve"> </w:t>
      </w:r>
      <w:r w:rsidRPr="00BD72ED">
        <w:rPr>
          <w:rFonts w:ascii="Times New Roman" w:hAnsi="Times New Roman"/>
          <w:sz w:val="24"/>
          <w:szCs w:val="24"/>
          <w:lang w:val="en-GB"/>
        </w:rPr>
        <w:t xml:space="preserve"> and statutory</w:t>
      </w:r>
      <w:r>
        <w:rPr>
          <w:rFonts w:ascii="Times New Roman" w:hAnsi="Times New Roman"/>
          <w:sz w:val="24"/>
          <w:szCs w:val="24"/>
          <w:lang w:val="en-GB"/>
        </w:rPr>
        <w:t xml:space="preserve"> perspective</w:t>
      </w:r>
      <w:r w:rsidRPr="00BD72ED">
        <w:rPr>
          <w:rFonts w:ascii="Times New Roman" w:hAnsi="Times New Roman"/>
          <w:sz w:val="24"/>
          <w:szCs w:val="24"/>
          <w:lang w:val="en-GB"/>
        </w:rPr>
        <w:t xml:space="preserve">, </w:t>
      </w:r>
      <w:r>
        <w:rPr>
          <w:rFonts w:ascii="Times New Roman" w:hAnsi="Times New Roman"/>
          <w:sz w:val="24"/>
          <w:szCs w:val="24"/>
          <w:lang w:val="en-GB"/>
        </w:rPr>
        <w:t xml:space="preserve">does </w:t>
      </w:r>
      <w:r w:rsidRPr="00BD72ED">
        <w:rPr>
          <w:rFonts w:ascii="Times New Roman" w:hAnsi="Times New Roman"/>
          <w:sz w:val="24"/>
          <w:szCs w:val="24"/>
          <w:lang w:val="en-GB"/>
        </w:rPr>
        <w:t xml:space="preserve">no </w:t>
      </w:r>
      <w:r>
        <w:rPr>
          <w:rFonts w:ascii="Times New Roman" w:hAnsi="Times New Roman"/>
          <w:sz w:val="24"/>
          <w:szCs w:val="24"/>
          <w:lang w:val="en-GB"/>
        </w:rPr>
        <w:t>longer reflect</w:t>
      </w:r>
      <w:r w:rsidRPr="00BD72ED">
        <w:rPr>
          <w:rFonts w:ascii="Times New Roman" w:hAnsi="Times New Roman"/>
          <w:sz w:val="24"/>
          <w:szCs w:val="24"/>
          <w:lang w:val="en-GB"/>
        </w:rPr>
        <w:t xml:space="preserve"> the importance </w:t>
      </w:r>
      <w:r>
        <w:rPr>
          <w:rFonts w:ascii="Times New Roman" w:hAnsi="Times New Roman"/>
          <w:sz w:val="24"/>
          <w:szCs w:val="24"/>
          <w:lang w:val="en-GB"/>
        </w:rPr>
        <w:t>that must be attached to</w:t>
      </w:r>
      <w:r w:rsidRPr="00BD72ED">
        <w:rPr>
          <w:rFonts w:ascii="Times New Roman" w:hAnsi="Times New Roman"/>
          <w:sz w:val="24"/>
          <w:szCs w:val="24"/>
          <w:lang w:val="en-GB"/>
        </w:rPr>
        <w:t xml:space="preserve"> the issue </w:t>
      </w:r>
      <w:r>
        <w:rPr>
          <w:rFonts w:ascii="Times New Roman" w:hAnsi="Times New Roman"/>
          <w:sz w:val="24"/>
          <w:szCs w:val="24"/>
          <w:lang w:val="en-GB"/>
        </w:rPr>
        <w:t xml:space="preserve">of what action is taken following the </w:t>
      </w:r>
      <w:r w:rsidRPr="00BD72ED">
        <w:rPr>
          <w:rFonts w:ascii="Times New Roman" w:hAnsi="Times New Roman"/>
          <w:sz w:val="24"/>
          <w:szCs w:val="24"/>
          <w:lang w:val="en-GB"/>
        </w:rPr>
        <w:t xml:space="preserve">findings of violations. </w:t>
      </w:r>
      <w:r>
        <w:rPr>
          <w:rFonts w:ascii="Times New Roman" w:hAnsi="Times New Roman"/>
          <w:sz w:val="24"/>
          <w:szCs w:val="24"/>
          <w:lang w:val="en-GB"/>
        </w:rPr>
        <w:t>The Department’s agents</w:t>
      </w:r>
      <w:r w:rsidRPr="00BD72ED">
        <w:rPr>
          <w:rFonts w:ascii="Times New Roman" w:hAnsi="Times New Roman"/>
          <w:sz w:val="24"/>
          <w:szCs w:val="24"/>
          <w:lang w:val="en-GB"/>
        </w:rPr>
        <w:t xml:space="preserve"> should be ab</w:t>
      </w:r>
      <w:r>
        <w:rPr>
          <w:rFonts w:ascii="Times New Roman" w:hAnsi="Times New Roman"/>
          <w:sz w:val="24"/>
          <w:szCs w:val="24"/>
          <w:lang w:val="en-GB"/>
        </w:rPr>
        <w:t xml:space="preserve">le </w:t>
      </w:r>
      <w:r w:rsidRPr="00BD72ED">
        <w:rPr>
          <w:rFonts w:ascii="Times New Roman" w:hAnsi="Times New Roman"/>
          <w:sz w:val="24"/>
          <w:szCs w:val="24"/>
          <w:lang w:val="en-GB"/>
        </w:rPr>
        <w:t xml:space="preserve">to </w:t>
      </w:r>
      <w:r>
        <w:rPr>
          <w:rFonts w:ascii="Times New Roman" w:hAnsi="Times New Roman"/>
          <w:sz w:val="24"/>
          <w:szCs w:val="24"/>
          <w:lang w:val="en-GB"/>
        </w:rPr>
        <w:t>conduct genuine</w:t>
      </w:r>
      <w:r w:rsidRPr="00BD72ED">
        <w:rPr>
          <w:rFonts w:ascii="Times New Roman" w:hAnsi="Times New Roman"/>
          <w:sz w:val="24"/>
          <w:szCs w:val="24"/>
          <w:lang w:val="en-GB"/>
        </w:rPr>
        <w:t xml:space="preserve"> observation missions on site and </w:t>
      </w:r>
      <w:r>
        <w:rPr>
          <w:rFonts w:ascii="Times New Roman" w:hAnsi="Times New Roman"/>
          <w:sz w:val="24"/>
          <w:szCs w:val="24"/>
          <w:lang w:val="en-GB"/>
        </w:rPr>
        <w:t xml:space="preserve">to </w:t>
      </w:r>
      <w:r w:rsidRPr="00BD72ED">
        <w:rPr>
          <w:rFonts w:ascii="Times New Roman" w:hAnsi="Times New Roman"/>
          <w:sz w:val="24"/>
          <w:szCs w:val="24"/>
          <w:lang w:val="en-GB"/>
        </w:rPr>
        <w:t xml:space="preserve">verify the practical impact of the measures taken at national level, at </w:t>
      </w:r>
      <w:r>
        <w:rPr>
          <w:rFonts w:ascii="Times New Roman" w:hAnsi="Times New Roman"/>
          <w:sz w:val="24"/>
          <w:szCs w:val="24"/>
          <w:lang w:val="en-GB"/>
        </w:rPr>
        <w:t xml:space="preserve">the very </w:t>
      </w:r>
      <w:r w:rsidRPr="00BD72ED">
        <w:rPr>
          <w:rFonts w:ascii="Times New Roman" w:hAnsi="Times New Roman"/>
          <w:sz w:val="24"/>
          <w:szCs w:val="24"/>
          <w:lang w:val="en-GB"/>
        </w:rPr>
        <w:t>least</w:t>
      </w:r>
      <w:r>
        <w:rPr>
          <w:rFonts w:ascii="Times New Roman" w:hAnsi="Times New Roman"/>
          <w:sz w:val="24"/>
          <w:szCs w:val="24"/>
          <w:lang w:val="en-GB"/>
        </w:rPr>
        <w:t>,</w:t>
      </w:r>
      <w:r w:rsidRPr="00BD72ED">
        <w:rPr>
          <w:rFonts w:ascii="Times New Roman" w:hAnsi="Times New Roman"/>
          <w:sz w:val="24"/>
          <w:szCs w:val="24"/>
          <w:lang w:val="en-GB"/>
        </w:rPr>
        <w:t xml:space="preserve"> </w:t>
      </w:r>
      <w:r>
        <w:rPr>
          <w:rFonts w:ascii="Times New Roman" w:hAnsi="Times New Roman"/>
          <w:sz w:val="24"/>
          <w:szCs w:val="24"/>
          <w:lang w:val="en-GB"/>
        </w:rPr>
        <w:t xml:space="preserve">with </w:t>
      </w:r>
      <w:r w:rsidRPr="00BD72ED">
        <w:rPr>
          <w:rFonts w:ascii="Times New Roman" w:hAnsi="Times New Roman"/>
          <w:sz w:val="24"/>
          <w:szCs w:val="24"/>
          <w:lang w:val="en-GB"/>
        </w:rPr>
        <w:t>rega</w:t>
      </w:r>
      <w:r>
        <w:rPr>
          <w:rFonts w:ascii="Times New Roman" w:hAnsi="Times New Roman"/>
          <w:sz w:val="24"/>
          <w:szCs w:val="24"/>
          <w:lang w:val="en-GB"/>
        </w:rPr>
        <w:t>rd to</w:t>
      </w:r>
      <w:r w:rsidRPr="00BD72ED">
        <w:rPr>
          <w:rFonts w:ascii="Times New Roman" w:hAnsi="Times New Roman"/>
          <w:sz w:val="24"/>
          <w:szCs w:val="24"/>
          <w:lang w:val="en-GB"/>
        </w:rPr>
        <w:t xml:space="preserve"> the cases before the </w:t>
      </w:r>
      <w:r>
        <w:rPr>
          <w:rFonts w:ascii="Times New Roman" w:hAnsi="Times New Roman"/>
          <w:sz w:val="24"/>
          <w:szCs w:val="24"/>
          <w:lang w:val="en-GB"/>
        </w:rPr>
        <w:t xml:space="preserve">instant </w:t>
      </w:r>
      <w:r w:rsidRPr="00BD72ED">
        <w:rPr>
          <w:rFonts w:ascii="Times New Roman" w:hAnsi="Times New Roman"/>
          <w:sz w:val="24"/>
          <w:szCs w:val="24"/>
          <w:lang w:val="en-GB"/>
        </w:rPr>
        <w:t>proce</w:t>
      </w:r>
      <w:r>
        <w:rPr>
          <w:rFonts w:ascii="Times New Roman" w:hAnsi="Times New Roman"/>
          <w:sz w:val="24"/>
          <w:szCs w:val="24"/>
          <w:lang w:val="en-GB"/>
        </w:rPr>
        <w:t>edings</w:t>
      </w:r>
      <w:r w:rsidRPr="00BD72ED">
        <w:rPr>
          <w:rFonts w:ascii="Times New Roman" w:hAnsi="Times New Roman"/>
          <w:sz w:val="24"/>
          <w:szCs w:val="24"/>
          <w:lang w:val="en-GB"/>
        </w:rPr>
        <w:t xml:space="preserve">. In general, </w:t>
      </w:r>
      <w:r>
        <w:rPr>
          <w:rFonts w:ascii="Times New Roman" w:hAnsi="Times New Roman"/>
          <w:sz w:val="24"/>
          <w:szCs w:val="24"/>
          <w:lang w:val="en-GB"/>
        </w:rPr>
        <w:t>the Department</w:t>
      </w:r>
      <w:r w:rsidRPr="00BD72ED">
        <w:rPr>
          <w:rFonts w:ascii="Times New Roman" w:hAnsi="Times New Roman"/>
          <w:sz w:val="24"/>
          <w:szCs w:val="24"/>
          <w:lang w:val="en-GB"/>
        </w:rPr>
        <w:t xml:space="preserve"> should have the material means to exercise its discretion </w:t>
      </w:r>
      <w:r>
        <w:rPr>
          <w:rFonts w:ascii="Times New Roman" w:hAnsi="Times New Roman"/>
          <w:sz w:val="24"/>
          <w:szCs w:val="24"/>
          <w:lang w:val="en-GB"/>
        </w:rPr>
        <w:t xml:space="preserve">autonomously and not be reliant on either the </w:t>
      </w:r>
      <w:r w:rsidRPr="00BD72ED">
        <w:rPr>
          <w:rFonts w:ascii="Times New Roman" w:hAnsi="Times New Roman"/>
          <w:sz w:val="24"/>
          <w:szCs w:val="24"/>
          <w:lang w:val="en-GB"/>
        </w:rPr>
        <w:t xml:space="preserve">information </w:t>
      </w:r>
      <w:r>
        <w:rPr>
          <w:rFonts w:ascii="Times New Roman" w:hAnsi="Times New Roman"/>
          <w:sz w:val="24"/>
          <w:szCs w:val="24"/>
          <w:lang w:val="en-GB"/>
        </w:rPr>
        <w:t xml:space="preserve">provided by the </w:t>
      </w:r>
      <w:r w:rsidRPr="00BD72ED">
        <w:rPr>
          <w:rFonts w:ascii="Times New Roman" w:hAnsi="Times New Roman"/>
          <w:sz w:val="24"/>
          <w:szCs w:val="24"/>
          <w:lang w:val="en-GB"/>
        </w:rPr>
        <w:t>government</w:t>
      </w:r>
      <w:r>
        <w:rPr>
          <w:rFonts w:ascii="Times New Roman" w:hAnsi="Times New Roman"/>
          <w:sz w:val="24"/>
          <w:szCs w:val="24"/>
          <w:lang w:val="en-GB"/>
        </w:rPr>
        <w:t>s or on the observations formulated by NGOs (where they submit such information). Furthermore</w:t>
      </w:r>
      <w:r w:rsidRPr="00BD72ED">
        <w:rPr>
          <w:rFonts w:ascii="Times New Roman" w:hAnsi="Times New Roman"/>
          <w:sz w:val="24"/>
          <w:szCs w:val="24"/>
          <w:lang w:val="en-GB"/>
        </w:rPr>
        <w:t xml:space="preserve">, applicants should </w:t>
      </w:r>
      <w:r>
        <w:rPr>
          <w:rFonts w:ascii="Times New Roman" w:hAnsi="Times New Roman"/>
          <w:sz w:val="24"/>
          <w:szCs w:val="24"/>
          <w:lang w:val="en-GB"/>
        </w:rPr>
        <w:t>have an enhanced role in this process and should be</w:t>
      </w:r>
      <w:r w:rsidRPr="00BD72ED">
        <w:rPr>
          <w:rFonts w:ascii="Times New Roman" w:hAnsi="Times New Roman"/>
          <w:sz w:val="24"/>
          <w:szCs w:val="24"/>
          <w:lang w:val="en-GB"/>
        </w:rPr>
        <w:t xml:space="preserve"> allowed </w:t>
      </w:r>
      <w:r>
        <w:rPr>
          <w:rFonts w:ascii="Times New Roman" w:hAnsi="Times New Roman"/>
          <w:sz w:val="24"/>
          <w:szCs w:val="24"/>
          <w:lang w:val="en-GB"/>
        </w:rPr>
        <w:t xml:space="preserve">a formal mechanism </w:t>
      </w:r>
      <w:r w:rsidRPr="00BD72ED">
        <w:rPr>
          <w:rFonts w:ascii="Times New Roman" w:hAnsi="Times New Roman"/>
          <w:sz w:val="24"/>
          <w:szCs w:val="24"/>
          <w:lang w:val="en-GB"/>
        </w:rPr>
        <w:t xml:space="preserve">to </w:t>
      </w:r>
      <w:r>
        <w:rPr>
          <w:rFonts w:ascii="Times New Roman" w:hAnsi="Times New Roman"/>
          <w:sz w:val="24"/>
          <w:szCs w:val="24"/>
          <w:lang w:val="en-GB"/>
        </w:rPr>
        <w:t>comment</w:t>
      </w:r>
      <w:r w:rsidRPr="00BD72ED">
        <w:rPr>
          <w:rFonts w:ascii="Times New Roman" w:hAnsi="Times New Roman"/>
          <w:sz w:val="24"/>
          <w:szCs w:val="24"/>
          <w:lang w:val="en-GB"/>
        </w:rPr>
        <w:t xml:space="preserve"> on the general measures taken by </w:t>
      </w:r>
      <w:r>
        <w:rPr>
          <w:rFonts w:ascii="Times New Roman" w:hAnsi="Times New Roman"/>
          <w:sz w:val="24"/>
          <w:szCs w:val="24"/>
          <w:lang w:val="en-GB"/>
        </w:rPr>
        <w:t xml:space="preserve">States. Finally, the </w:t>
      </w:r>
      <w:r w:rsidRPr="00BD72ED">
        <w:rPr>
          <w:rFonts w:ascii="Times New Roman" w:hAnsi="Times New Roman"/>
          <w:sz w:val="24"/>
          <w:szCs w:val="24"/>
          <w:lang w:val="en-GB"/>
        </w:rPr>
        <w:t>CDDH</w:t>
      </w:r>
      <w:r>
        <w:rPr>
          <w:rFonts w:ascii="Times New Roman" w:hAnsi="Times New Roman"/>
          <w:sz w:val="24"/>
          <w:szCs w:val="24"/>
          <w:lang w:val="en-GB"/>
        </w:rPr>
        <w:t xml:space="preserve"> in particular, should consider the possibility of converting the </w:t>
      </w:r>
      <w:r w:rsidRPr="00F71CB4">
        <w:rPr>
          <w:rFonts w:ascii="Times New Roman" w:hAnsi="Times New Roman"/>
          <w:sz w:val="24"/>
          <w:szCs w:val="24"/>
          <w:lang w:val="en-GB"/>
        </w:rPr>
        <w:t>Department for the Execution of Judgments</w:t>
      </w:r>
      <w:r>
        <w:rPr>
          <w:rFonts w:ascii="Times New Roman" w:hAnsi="Times New Roman"/>
          <w:sz w:val="24"/>
          <w:szCs w:val="24"/>
          <w:lang w:val="en-GB"/>
        </w:rPr>
        <w:t xml:space="preserve"> into a </w:t>
      </w:r>
      <w:r w:rsidRPr="00BD72ED">
        <w:rPr>
          <w:rFonts w:ascii="Times New Roman" w:hAnsi="Times New Roman"/>
          <w:sz w:val="24"/>
          <w:szCs w:val="24"/>
          <w:lang w:val="en-GB"/>
        </w:rPr>
        <w:t>statutory body</w:t>
      </w:r>
      <w:r>
        <w:rPr>
          <w:rFonts w:ascii="Times New Roman" w:hAnsi="Times New Roman"/>
          <w:sz w:val="24"/>
          <w:szCs w:val="24"/>
          <w:lang w:val="en-GB"/>
        </w:rPr>
        <w:t xml:space="preserve"> under </w:t>
      </w:r>
      <w:r w:rsidRPr="00BD72ED">
        <w:rPr>
          <w:rFonts w:ascii="Times New Roman" w:hAnsi="Times New Roman"/>
          <w:sz w:val="24"/>
          <w:szCs w:val="24"/>
          <w:lang w:val="en-GB"/>
        </w:rPr>
        <w:t>the Convention</w:t>
      </w:r>
      <w:r>
        <w:rPr>
          <w:rFonts w:ascii="Times New Roman" w:hAnsi="Times New Roman"/>
          <w:sz w:val="24"/>
          <w:szCs w:val="24"/>
          <w:lang w:val="en-GB"/>
        </w:rPr>
        <w:t>.</w:t>
      </w:r>
      <w:r>
        <w:rPr>
          <w:rStyle w:val="Refdenotaderodap"/>
          <w:rFonts w:ascii="Times New Roman" w:hAnsi="Times New Roman"/>
          <w:sz w:val="24"/>
          <w:szCs w:val="24"/>
        </w:rPr>
        <w:footnoteReference w:id="14"/>
      </w:r>
    </w:p>
    <w:p w:rsidR="00D17F78" w:rsidRPr="00BD72ED" w:rsidRDefault="00D17F78" w:rsidP="00D17F78">
      <w:pPr>
        <w:pStyle w:val="NormalWeb"/>
        <w:spacing w:after="0"/>
        <w:jc w:val="both"/>
        <w:rPr>
          <w:rFonts w:ascii="Times New Roman" w:hAnsi="Times New Roman"/>
          <w:sz w:val="24"/>
          <w:szCs w:val="24"/>
          <w:lang w:val="en-GB"/>
        </w:rPr>
      </w:pPr>
      <w:r>
        <w:rPr>
          <w:rFonts w:ascii="Times New Roman" w:hAnsi="Times New Roman"/>
          <w:sz w:val="24"/>
          <w:szCs w:val="24"/>
          <w:lang w:val="en-GB"/>
        </w:rPr>
        <w:t>16</w:t>
      </w:r>
      <w:r w:rsidRPr="007A79A3">
        <w:rPr>
          <w:rFonts w:ascii="Times New Roman" w:hAnsi="Times New Roman"/>
          <w:sz w:val="24"/>
          <w:szCs w:val="24"/>
          <w:lang w:val="en-GB"/>
        </w:rPr>
        <w:t xml:space="preserve">. </w:t>
      </w:r>
      <w:r w:rsidRPr="00BD72ED">
        <w:rPr>
          <w:rFonts w:ascii="Times New Roman" w:hAnsi="Times New Roman"/>
          <w:sz w:val="24"/>
          <w:szCs w:val="24"/>
          <w:lang w:val="en-GB"/>
        </w:rPr>
        <w:t xml:space="preserve">The Committee of Ministers </w:t>
      </w:r>
      <w:r>
        <w:rPr>
          <w:rFonts w:ascii="Times New Roman" w:hAnsi="Times New Roman"/>
          <w:sz w:val="24"/>
          <w:szCs w:val="24"/>
          <w:lang w:val="en-GB"/>
        </w:rPr>
        <w:t>contributes</w:t>
      </w:r>
      <w:r w:rsidRPr="00BD72ED">
        <w:rPr>
          <w:rFonts w:ascii="Times New Roman" w:hAnsi="Times New Roman"/>
          <w:sz w:val="24"/>
          <w:szCs w:val="24"/>
          <w:lang w:val="en-GB"/>
        </w:rPr>
        <w:t xml:space="preserve"> only very </w:t>
      </w:r>
      <w:r>
        <w:rPr>
          <w:rFonts w:ascii="Times New Roman" w:hAnsi="Times New Roman"/>
          <w:sz w:val="24"/>
          <w:szCs w:val="24"/>
          <w:lang w:val="en-GB"/>
        </w:rPr>
        <w:t>poor</w:t>
      </w:r>
      <w:r w:rsidRPr="00BD72ED">
        <w:rPr>
          <w:rFonts w:ascii="Times New Roman" w:hAnsi="Times New Roman"/>
          <w:sz w:val="24"/>
          <w:szCs w:val="24"/>
          <w:lang w:val="en-GB"/>
        </w:rPr>
        <w:t xml:space="preserve">ly to the collective </w:t>
      </w:r>
      <w:r>
        <w:rPr>
          <w:rFonts w:ascii="Times New Roman" w:hAnsi="Times New Roman"/>
          <w:sz w:val="24"/>
          <w:szCs w:val="24"/>
          <w:lang w:val="en-GB"/>
        </w:rPr>
        <w:t xml:space="preserve">implementation </w:t>
      </w:r>
      <w:r w:rsidRPr="00BD72ED">
        <w:rPr>
          <w:rFonts w:ascii="Times New Roman" w:hAnsi="Times New Roman"/>
          <w:sz w:val="24"/>
          <w:szCs w:val="24"/>
          <w:lang w:val="en-GB"/>
        </w:rPr>
        <w:t xml:space="preserve">the Convention. The pressure </w:t>
      </w:r>
      <w:r>
        <w:rPr>
          <w:rFonts w:ascii="Times New Roman" w:hAnsi="Times New Roman"/>
          <w:sz w:val="24"/>
          <w:szCs w:val="24"/>
          <w:lang w:val="en-GB"/>
        </w:rPr>
        <w:t>exerted by this mechanism upon recalcitrant S</w:t>
      </w:r>
      <w:r w:rsidRPr="00BD72ED">
        <w:rPr>
          <w:rFonts w:ascii="Times New Roman" w:hAnsi="Times New Roman"/>
          <w:sz w:val="24"/>
          <w:szCs w:val="24"/>
          <w:lang w:val="en-GB"/>
        </w:rPr>
        <w:t xml:space="preserve">tates is </w:t>
      </w:r>
      <w:r>
        <w:rPr>
          <w:rFonts w:ascii="Times New Roman" w:hAnsi="Times New Roman"/>
          <w:sz w:val="24"/>
          <w:szCs w:val="24"/>
          <w:lang w:val="en-GB"/>
        </w:rPr>
        <w:t xml:space="preserve">markedly </w:t>
      </w:r>
      <w:r w:rsidRPr="00BD72ED">
        <w:rPr>
          <w:rFonts w:ascii="Times New Roman" w:hAnsi="Times New Roman"/>
          <w:sz w:val="24"/>
          <w:szCs w:val="24"/>
          <w:lang w:val="en-GB"/>
        </w:rPr>
        <w:t xml:space="preserve">inadequate, especially </w:t>
      </w:r>
      <w:r>
        <w:rPr>
          <w:rFonts w:ascii="Times New Roman" w:hAnsi="Times New Roman"/>
          <w:sz w:val="24"/>
          <w:szCs w:val="24"/>
          <w:lang w:val="en-GB"/>
        </w:rPr>
        <w:t>when it comes to long-standing mal</w:t>
      </w:r>
      <w:r w:rsidRPr="00BD72ED">
        <w:rPr>
          <w:rFonts w:ascii="Times New Roman" w:hAnsi="Times New Roman"/>
          <w:sz w:val="24"/>
          <w:szCs w:val="24"/>
          <w:lang w:val="en-GB"/>
        </w:rPr>
        <w:t>function</w:t>
      </w:r>
      <w:r>
        <w:rPr>
          <w:rFonts w:ascii="Times New Roman" w:hAnsi="Times New Roman"/>
          <w:sz w:val="24"/>
          <w:szCs w:val="24"/>
          <w:lang w:val="en-GB"/>
        </w:rPr>
        <w:t>s</w:t>
      </w:r>
      <w:r w:rsidRPr="00BD72ED">
        <w:rPr>
          <w:rFonts w:ascii="Times New Roman" w:hAnsi="Times New Roman"/>
          <w:sz w:val="24"/>
          <w:szCs w:val="24"/>
          <w:lang w:val="en-GB"/>
        </w:rPr>
        <w:t xml:space="preserve"> of the prison s</w:t>
      </w:r>
      <w:r>
        <w:rPr>
          <w:rFonts w:ascii="Times New Roman" w:hAnsi="Times New Roman"/>
          <w:sz w:val="24"/>
          <w:szCs w:val="24"/>
          <w:lang w:val="en-GB"/>
        </w:rPr>
        <w:t>ystem</w:t>
      </w:r>
      <w:r w:rsidRPr="00BD72ED">
        <w:rPr>
          <w:rFonts w:ascii="Times New Roman" w:hAnsi="Times New Roman"/>
          <w:sz w:val="24"/>
          <w:szCs w:val="24"/>
          <w:lang w:val="en-GB"/>
        </w:rPr>
        <w:t xml:space="preserve">. </w:t>
      </w:r>
      <w:r>
        <w:rPr>
          <w:rFonts w:ascii="Times New Roman" w:hAnsi="Times New Roman"/>
          <w:sz w:val="24"/>
          <w:szCs w:val="24"/>
          <w:lang w:val="en-GB"/>
        </w:rPr>
        <w:t xml:space="preserve">The </w:t>
      </w:r>
      <w:r w:rsidRPr="00BD72ED">
        <w:rPr>
          <w:rFonts w:ascii="Times New Roman" w:hAnsi="Times New Roman"/>
          <w:sz w:val="24"/>
          <w:szCs w:val="24"/>
          <w:lang w:val="en-GB"/>
        </w:rPr>
        <w:t>Committee</w:t>
      </w:r>
      <w:r>
        <w:rPr>
          <w:rFonts w:ascii="Times New Roman" w:hAnsi="Times New Roman"/>
          <w:sz w:val="24"/>
          <w:szCs w:val="24"/>
          <w:lang w:val="en-GB"/>
        </w:rPr>
        <w:t>’s</w:t>
      </w:r>
      <w:r w:rsidRPr="00BD72ED">
        <w:rPr>
          <w:rFonts w:ascii="Times New Roman" w:hAnsi="Times New Roman"/>
          <w:sz w:val="24"/>
          <w:szCs w:val="24"/>
          <w:lang w:val="en-GB"/>
        </w:rPr>
        <w:t xml:space="preserve"> </w:t>
      </w:r>
      <w:r>
        <w:rPr>
          <w:rFonts w:ascii="Times New Roman" w:hAnsi="Times New Roman"/>
          <w:sz w:val="24"/>
          <w:szCs w:val="24"/>
          <w:lang w:val="en-GB"/>
        </w:rPr>
        <w:t>position does not adequately address the need to control the concrete and effective consequences of the measures adopted at a national level. Indeed, it does not make an adequate and effective use of the series of initiatives that it has at its disposal</w:t>
      </w:r>
      <w:r w:rsidRPr="00BD72ED">
        <w:rPr>
          <w:rFonts w:ascii="Times New Roman" w:hAnsi="Times New Roman"/>
          <w:sz w:val="24"/>
          <w:szCs w:val="24"/>
          <w:lang w:val="en-GB"/>
        </w:rPr>
        <w:t xml:space="preserve">. </w:t>
      </w:r>
      <w:r>
        <w:rPr>
          <w:rFonts w:ascii="Times New Roman" w:hAnsi="Times New Roman"/>
          <w:sz w:val="24"/>
          <w:szCs w:val="24"/>
          <w:lang w:val="en-GB"/>
        </w:rPr>
        <w:t>Furthermore, regarding</w:t>
      </w:r>
      <w:r w:rsidRPr="00BD72ED">
        <w:rPr>
          <w:rFonts w:ascii="Times New Roman" w:hAnsi="Times New Roman"/>
          <w:sz w:val="24"/>
          <w:szCs w:val="24"/>
          <w:lang w:val="en-GB"/>
        </w:rPr>
        <w:t xml:space="preserve"> the powers entrusted to it by Article 46-4 of the Convention (infringement proceedings before the Court), the doctrine </w:t>
      </w:r>
      <w:r>
        <w:rPr>
          <w:rFonts w:ascii="Times New Roman" w:hAnsi="Times New Roman"/>
          <w:sz w:val="24"/>
          <w:szCs w:val="24"/>
          <w:lang w:val="en-GB"/>
        </w:rPr>
        <w:t>that</w:t>
      </w:r>
      <w:r w:rsidRPr="00BD72ED">
        <w:rPr>
          <w:rFonts w:ascii="Times New Roman" w:hAnsi="Times New Roman"/>
          <w:sz w:val="24"/>
          <w:szCs w:val="24"/>
          <w:lang w:val="en-GB"/>
        </w:rPr>
        <w:t xml:space="preserve"> makes </w:t>
      </w:r>
      <w:r>
        <w:rPr>
          <w:rFonts w:ascii="Times New Roman" w:hAnsi="Times New Roman"/>
          <w:sz w:val="24"/>
          <w:szCs w:val="24"/>
          <w:lang w:val="en-GB"/>
        </w:rPr>
        <w:t xml:space="preserve">them </w:t>
      </w:r>
      <w:r w:rsidRPr="00BD72ED">
        <w:rPr>
          <w:rFonts w:ascii="Times New Roman" w:hAnsi="Times New Roman"/>
          <w:sz w:val="24"/>
          <w:szCs w:val="24"/>
          <w:lang w:val="en-GB"/>
        </w:rPr>
        <w:t xml:space="preserve">a </w:t>
      </w:r>
      <w:r>
        <w:rPr>
          <w:rFonts w:ascii="Times New Roman" w:hAnsi="Times New Roman"/>
          <w:sz w:val="24"/>
          <w:szCs w:val="24"/>
          <w:lang w:val="en-GB"/>
        </w:rPr>
        <w:t>remedy of last resort</w:t>
      </w:r>
      <w:r w:rsidRPr="00BD72ED">
        <w:rPr>
          <w:rFonts w:ascii="Times New Roman" w:hAnsi="Times New Roman"/>
          <w:sz w:val="24"/>
          <w:szCs w:val="24"/>
          <w:lang w:val="en-GB"/>
        </w:rPr>
        <w:t xml:space="preserve">, which </w:t>
      </w:r>
      <w:r>
        <w:rPr>
          <w:rFonts w:ascii="Times New Roman" w:hAnsi="Times New Roman"/>
          <w:sz w:val="24"/>
          <w:szCs w:val="24"/>
          <w:lang w:val="en-GB"/>
        </w:rPr>
        <w:t>is the current position</w:t>
      </w:r>
      <w:r w:rsidRPr="00BD72ED">
        <w:rPr>
          <w:rFonts w:ascii="Times New Roman" w:hAnsi="Times New Roman"/>
          <w:sz w:val="24"/>
          <w:szCs w:val="24"/>
          <w:lang w:val="en-GB"/>
        </w:rPr>
        <w:t xml:space="preserve">, should be abandoned. </w:t>
      </w:r>
      <w:r>
        <w:rPr>
          <w:rFonts w:ascii="Times New Roman" w:hAnsi="Times New Roman"/>
          <w:sz w:val="24"/>
          <w:szCs w:val="24"/>
          <w:lang w:val="en-GB"/>
        </w:rPr>
        <w:t>If such prerogatives would be used in the ordinary course of action when addressing persistent infringements, that should help reduce the perceived importance of their use and remove the political stigma with which they are inherently associated.</w:t>
      </w:r>
      <w:r>
        <w:rPr>
          <w:rStyle w:val="Refdenotaderodap"/>
          <w:rFonts w:ascii="Times New Roman" w:hAnsi="Times New Roman"/>
          <w:sz w:val="24"/>
          <w:szCs w:val="24"/>
        </w:rPr>
        <w:footnoteReference w:id="15"/>
      </w:r>
      <w:r>
        <w:rPr>
          <w:rFonts w:ascii="Times New Roman" w:hAnsi="Times New Roman"/>
          <w:sz w:val="24"/>
          <w:szCs w:val="24"/>
          <w:lang w:val="en-GB"/>
        </w:rPr>
        <w:t xml:space="preserve"> T</w:t>
      </w:r>
      <w:r w:rsidRPr="00BD72ED">
        <w:rPr>
          <w:rFonts w:ascii="Times New Roman" w:hAnsi="Times New Roman"/>
          <w:sz w:val="24"/>
          <w:szCs w:val="24"/>
          <w:lang w:val="en-GB"/>
        </w:rPr>
        <w:t>he Parliamentary Assembly</w:t>
      </w:r>
      <w:r>
        <w:rPr>
          <w:rFonts w:ascii="Times New Roman" w:hAnsi="Times New Roman"/>
          <w:sz w:val="24"/>
          <w:szCs w:val="24"/>
          <w:lang w:val="en-GB"/>
        </w:rPr>
        <w:t xml:space="preserve"> should also be granted</w:t>
      </w:r>
      <w:r w:rsidRPr="00BD72ED">
        <w:rPr>
          <w:rFonts w:ascii="Times New Roman" w:hAnsi="Times New Roman"/>
          <w:sz w:val="24"/>
          <w:szCs w:val="24"/>
          <w:lang w:val="en-GB"/>
        </w:rPr>
        <w:t xml:space="preserve"> </w:t>
      </w:r>
      <w:r>
        <w:rPr>
          <w:rFonts w:ascii="Times New Roman" w:hAnsi="Times New Roman"/>
          <w:sz w:val="24"/>
          <w:szCs w:val="24"/>
          <w:lang w:val="en-GB"/>
        </w:rPr>
        <w:t>such powers, as many have previously advocated.</w:t>
      </w:r>
      <w:r>
        <w:rPr>
          <w:rStyle w:val="Refdenotaderodap"/>
          <w:rFonts w:ascii="Times New Roman" w:hAnsi="Times New Roman"/>
          <w:sz w:val="24"/>
          <w:szCs w:val="24"/>
        </w:rPr>
        <w:footnoteReference w:id="16"/>
      </w:r>
      <w:r>
        <w:rPr>
          <w:rFonts w:ascii="Times New Roman" w:hAnsi="Times New Roman"/>
          <w:sz w:val="24"/>
          <w:szCs w:val="24"/>
          <w:lang w:val="en-GB"/>
        </w:rPr>
        <w:t xml:space="preserve"> </w:t>
      </w:r>
      <w:r w:rsidRPr="00BD72ED">
        <w:rPr>
          <w:rFonts w:ascii="Times New Roman" w:hAnsi="Times New Roman"/>
          <w:sz w:val="24"/>
          <w:szCs w:val="24"/>
          <w:lang w:val="en-GB"/>
        </w:rPr>
        <w:t xml:space="preserve">Finally, in case of </w:t>
      </w:r>
      <w:r>
        <w:rPr>
          <w:rFonts w:ascii="Times New Roman" w:hAnsi="Times New Roman"/>
          <w:sz w:val="24"/>
          <w:szCs w:val="24"/>
          <w:lang w:val="en-GB"/>
        </w:rPr>
        <w:t xml:space="preserve">a </w:t>
      </w:r>
      <w:r w:rsidRPr="00BD72ED">
        <w:rPr>
          <w:rFonts w:ascii="Times New Roman" w:hAnsi="Times New Roman"/>
          <w:sz w:val="24"/>
          <w:szCs w:val="24"/>
          <w:lang w:val="en-GB"/>
        </w:rPr>
        <w:t xml:space="preserve">finding of a violation, the Court should be able to </w:t>
      </w:r>
      <w:r>
        <w:rPr>
          <w:rFonts w:ascii="Times New Roman" w:hAnsi="Times New Roman"/>
          <w:sz w:val="24"/>
          <w:szCs w:val="24"/>
          <w:lang w:val="en-GB"/>
        </w:rPr>
        <w:t xml:space="preserve">impose upon </w:t>
      </w:r>
      <w:r>
        <w:rPr>
          <w:rFonts w:ascii="Times New Roman" w:hAnsi="Times New Roman"/>
          <w:sz w:val="24"/>
          <w:szCs w:val="24"/>
          <w:lang w:val="en-GB"/>
        </w:rPr>
        <w:lastRenderedPageBreak/>
        <w:t>the S</w:t>
      </w:r>
      <w:r w:rsidRPr="00BD72ED">
        <w:rPr>
          <w:rFonts w:ascii="Times New Roman" w:hAnsi="Times New Roman"/>
          <w:sz w:val="24"/>
          <w:szCs w:val="24"/>
          <w:lang w:val="en-GB"/>
        </w:rPr>
        <w:t>tate</w:t>
      </w:r>
      <w:r>
        <w:rPr>
          <w:rFonts w:ascii="Times New Roman" w:hAnsi="Times New Roman"/>
          <w:sz w:val="24"/>
          <w:szCs w:val="24"/>
          <w:lang w:val="en-GB"/>
        </w:rPr>
        <w:t xml:space="preserve"> that is failing to comply with its duties</w:t>
      </w:r>
      <w:r w:rsidRPr="00BD72ED">
        <w:rPr>
          <w:rFonts w:ascii="Times New Roman" w:hAnsi="Times New Roman"/>
          <w:sz w:val="24"/>
          <w:szCs w:val="24"/>
          <w:lang w:val="en-GB"/>
        </w:rPr>
        <w:t xml:space="preserve"> </w:t>
      </w:r>
      <w:r>
        <w:rPr>
          <w:rFonts w:ascii="Times New Roman" w:hAnsi="Times New Roman"/>
          <w:sz w:val="24"/>
          <w:szCs w:val="24"/>
          <w:lang w:val="en-GB"/>
        </w:rPr>
        <w:t xml:space="preserve">the obligation </w:t>
      </w:r>
      <w:r w:rsidRPr="00BD72ED">
        <w:rPr>
          <w:rFonts w:ascii="Times New Roman" w:hAnsi="Times New Roman"/>
          <w:sz w:val="24"/>
          <w:szCs w:val="24"/>
          <w:lang w:val="en-GB"/>
        </w:rPr>
        <w:t>to make compensatory payments to the Trust Fund.</w:t>
      </w:r>
    </w:p>
    <w:p w:rsidR="00D17F78" w:rsidRPr="00BD72ED" w:rsidRDefault="00D17F78" w:rsidP="00D17F78">
      <w:pPr>
        <w:pStyle w:val="NormalWeb"/>
        <w:spacing w:after="0"/>
        <w:jc w:val="both"/>
        <w:rPr>
          <w:rFonts w:ascii="Times New Roman" w:hAnsi="Times New Roman"/>
          <w:sz w:val="24"/>
          <w:szCs w:val="24"/>
          <w:lang w:val="en-GB"/>
        </w:rPr>
      </w:pPr>
      <w:r>
        <w:rPr>
          <w:rFonts w:ascii="Times New Roman" w:hAnsi="Times New Roman"/>
          <w:sz w:val="24"/>
          <w:szCs w:val="24"/>
          <w:lang w:val="en-GB"/>
        </w:rPr>
        <w:t>17</w:t>
      </w:r>
      <w:r w:rsidRPr="007A79A3">
        <w:rPr>
          <w:rFonts w:ascii="Times New Roman" w:hAnsi="Times New Roman"/>
          <w:sz w:val="24"/>
          <w:szCs w:val="24"/>
          <w:lang w:val="en-GB"/>
        </w:rPr>
        <w:t xml:space="preserve">. </w:t>
      </w:r>
      <w:r w:rsidRPr="00BD72ED">
        <w:rPr>
          <w:rFonts w:ascii="Times New Roman" w:hAnsi="Times New Roman"/>
          <w:sz w:val="24"/>
          <w:szCs w:val="24"/>
          <w:lang w:val="en-GB"/>
        </w:rPr>
        <w:t xml:space="preserve">If the </w:t>
      </w:r>
      <w:r>
        <w:rPr>
          <w:rFonts w:ascii="Times New Roman" w:hAnsi="Times New Roman"/>
          <w:sz w:val="24"/>
          <w:szCs w:val="24"/>
          <w:lang w:val="en-GB"/>
        </w:rPr>
        <w:t>supervision process of the execution of judgements and decisions</w:t>
      </w:r>
      <w:r w:rsidRPr="00BD72ED">
        <w:rPr>
          <w:rFonts w:ascii="Times New Roman" w:hAnsi="Times New Roman"/>
          <w:sz w:val="24"/>
          <w:szCs w:val="24"/>
          <w:lang w:val="en-GB"/>
        </w:rPr>
        <w:t xml:space="preserve"> has become</w:t>
      </w:r>
      <w:r>
        <w:rPr>
          <w:rFonts w:ascii="Times New Roman" w:hAnsi="Times New Roman"/>
          <w:sz w:val="24"/>
          <w:szCs w:val="24"/>
          <w:lang w:val="en-GB"/>
        </w:rPr>
        <w:t xml:space="preserve"> more transparent, the procedure</w:t>
      </w:r>
      <w:r w:rsidRPr="00BD72ED">
        <w:rPr>
          <w:rFonts w:ascii="Times New Roman" w:hAnsi="Times New Roman"/>
          <w:sz w:val="24"/>
          <w:szCs w:val="24"/>
          <w:lang w:val="en-GB"/>
        </w:rPr>
        <w:t xml:space="preserve"> before the Committee of Ministers remains very unbalanced, </w:t>
      </w:r>
      <w:r>
        <w:rPr>
          <w:rFonts w:ascii="Times New Roman" w:hAnsi="Times New Roman"/>
          <w:sz w:val="24"/>
          <w:szCs w:val="24"/>
          <w:lang w:val="en-GB"/>
        </w:rPr>
        <w:t>as far as the participation granted to the losing party is concerned</w:t>
      </w:r>
      <w:r w:rsidRPr="00BD72ED">
        <w:rPr>
          <w:rFonts w:ascii="Times New Roman" w:hAnsi="Times New Roman"/>
          <w:sz w:val="24"/>
          <w:szCs w:val="24"/>
          <w:lang w:val="en-GB"/>
        </w:rPr>
        <w:t xml:space="preserve">. </w:t>
      </w:r>
      <w:r>
        <w:rPr>
          <w:rFonts w:ascii="Times New Roman" w:hAnsi="Times New Roman"/>
          <w:sz w:val="24"/>
          <w:szCs w:val="24"/>
          <w:lang w:val="en-GB"/>
        </w:rPr>
        <w:t xml:space="preserve">Although the advantages that may be drawn from </w:t>
      </w:r>
      <w:r w:rsidRPr="00BD72ED">
        <w:rPr>
          <w:rFonts w:ascii="Times New Roman" w:hAnsi="Times New Roman"/>
          <w:sz w:val="24"/>
          <w:szCs w:val="24"/>
          <w:lang w:val="en-GB"/>
        </w:rPr>
        <w:t xml:space="preserve">experience </w:t>
      </w:r>
      <w:r>
        <w:rPr>
          <w:rFonts w:ascii="Times New Roman" w:hAnsi="Times New Roman"/>
          <w:sz w:val="24"/>
          <w:szCs w:val="24"/>
          <w:lang w:val="en-GB"/>
        </w:rPr>
        <w:t>sharing are not disputed, s</w:t>
      </w:r>
      <w:r w:rsidRPr="00BD72ED">
        <w:rPr>
          <w:rFonts w:ascii="Times New Roman" w:hAnsi="Times New Roman"/>
          <w:sz w:val="24"/>
          <w:szCs w:val="24"/>
          <w:lang w:val="en-GB"/>
        </w:rPr>
        <w:t xml:space="preserve">uch a system can only </w:t>
      </w:r>
      <w:r>
        <w:rPr>
          <w:rFonts w:ascii="Times New Roman" w:hAnsi="Times New Roman"/>
          <w:sz w:val="24"/>
          <w:szCs w:val="24"/>
          <w:lang w:val="en-GB"/>
        </w:rPr>
        <w:t>undermine</w:t>
      </w:r>
      <w:r w:rsidRPr="00BD72ED">
        <w:rPr>
          <w:rFonts w:ascii="Times New Roman" w:hAnsi="Times New Roman"/>
          <w:sz w:val="24"/>
          <w:szCs w:val="24"/>
          <w:lang w:val="en-GB"/>
        </w:rPr>
        <w:t xml:space="preserve"> the effectiveness of the </w:t>
      </w:r>
      <w:r>
        <w:rPr>
          <w:rFonts w:ascii="Times New Roman" w:hAnsi="Times New Roman"/>
          <w:sz w:val="24"/>
          <w:szCs w:val="24"/>
          <w:lang w:val="en-GB"/>
        </w:rPr>
        <w:t>follow-up tasks</w:t>
      </w:r>
      <w:r w:rsidRPr="00BD72ED">
        <w:rPr>
          <w:rFonts w:ascii="Times New Roman" w:hAnsi="Times New Roman"/>
          <w:sz w:val="24"/>
          <w:szCs w:val="24"/>
          <w:lang w:val="en-GB"/>
        </w:rPr>
        <w:t xml:space="preserve"> assigned to the Committee</w:t>
      </w:r>
      <w:r>
        <w:rPr>
          <w:rFonts w:ascii="Times New Roman" w:hAnsi="Times New Roman"/>
          <w:sz w:val="24"/>
          <w:szCs w:val="24"/>
          <w:lang w:val="en-GB"/>
        </w:rPr>
        <w:t>, and</w:t>
      </w:r>
      <w:r w:rsidRPr="00BD72ED">
        <w:rPr>
          <w:rFonts w:ascii="Times New Roman" w:hAnsi="Times New Roman"/>
          <w:sz w:val="24"/>
          <w:szCs w:val="24"/>
          <w:lang w:val="en-GB"/>
        </w:rPr>
        <w:t xml:space="preserve"> the procedure </w:t>
      </w:r>
      <w:r>
        <w:rPr>
          <w:rFonts w:ascii="Times New Roman" w:hAnsi="Times New Roman"/>
          <w:sz w:val="24"/>
          <w:szCs w:val="24"/>
          <w:lang w:val="en-GB"/>
        </w:rPr>
        <w:t>should</w:t>
      </w:r>
      <w:r w:rsidRPr="00BD72ED">
        <w:rPr>
          <w:rFonts w:ascii="Times New Roman" w:hAnsi="Times New Roman"/>
          <w:sz w:val="24"/>
          <w:szCs w:val="24"/>
          <w:lang w:val="en-GB"/>
        </w:rPr>
        <w:t xml:space="preserve"> be reviewed </w:t>
      </w:r>
      <w:r>
        <w:rPr>
          <w:rFonts w:ascii="Times New Roman" w:hAnsi="Times New Roman"/>
          <w:sz w:val="24"/>
          <w:szCs w:val="24"/>
          <w:lang w:val="en-GB"/>
        </w:rPr>
        <w:t xml:space="preserve">in order </w:t>
      </w:r>
      <w:r w:rsidRPr="00BD72ED">
        <w:rPr>
          <w:rFonts w:ascii="Times New Roman" w:hAnsi="Times New Roman"/>
          <w:sz w:val="24"/>
          <w:szCs w:val="24"/>
          <w:lang w:val="en-GB"/>
        </w:rPr>
        <w:t xml:space="preserve">to ensure </w:t>
      </w:r>
      <w:r>
        <w:rPr>
          <w:rFonts w:ascii="Times New Roman" w:hAnsi="Times New Roman"/>
          <w:sz w:val="24"/>
          <w:szCs w:val="24"/>
          <w:lang w:val="en-GB"/>
        </w:rPr>
        <w:t xml:space="preserve">the involvement </w:t>
      </w:r>
      <w:r w:rsidRPr="00BD72ED">
        <w:rPr>
          <w:rFonts w:ascii="Times New Roman" w:hAnsi="Times New Roman"/>
          <w:sz w:val="24"/>
          <w:szCs w:val="24"/>
          <w:lang w:val="en-GB"/>
        </w:rPr>
        <w:t xml:space="preserve">of the applicants and NGOs. Hearings </w:t>
      </w:r>
      <w:r>
        <w:rPr>
          <w:rFonts w:ascii="Times New Roman" w:hAnsi="Times New Roman"/>
          <w:sz w:val="24"/>
          <w:szCs w:val="24"/>
          <w:lang w:val="en-GB"/>
        </w:rPr>
        <w:t>should be</w:t>
      </w:r>
      <w:r w:rsidRPr="00BD72ED">
        <w:rPr>
          <w:rFonts w:ascii="Times New Roman" w:hAnsi="Times New Roman"/>
          <w:sz w:val="24"/>
          <w:szCs w:val="24"/>
          <w:lang w:val="en-GB"/>
        </w:rPr>
        <w:t xml:space="preserve"> held when</w:t>
      </w:r>
      <w:r>
        <w:rPr>
          <w:rFonts w:ascii="Times New Roman" w:hAnsi="Times New Roman"/>
          <w:sz w:val="24"/>
          <w:szCs w:val="24"/>
          <w:lang w:val="en-GB"/>
        </w:rPr>
        <w:t>ever</w:t>
      </w:r>
      <w:r w:rsidRPr="00BD72ED">
        <w:rPr>
          <w:rFonts w:ascii="Times New Roman" w:hAnsi="Times New Roman"/>
          <w:sz w:val="24"/>
          <w:szCs w:val="24"/>
          <w:lang w:val="en-GB"/>
        </w:rPr>
        <w:t xml:space="preserve"> </w:t>
      </w:r>
      <w:r>
        <w:rPr>
          <w:rFonts w:ascii="Times New Roman" w:hAnsi="Times New Roman"/>
          <w:sz w:val="24"/>
          <w:szCs w:val="24"/>
          <w:lang w:val="en-GB"/>
        </w:rPr>
        <w:t xml:space="preserve">the adoption of </w:t>
      </w:r>
      <w:r w:rsidRPr="00BD72ED">
        <w:rPr>
          <w:rFonts w:ascii="Times New Roman" w:hAnsi="Times New Roman"/>
          <w:sz w:val="24"/>
          <w:szCs w:val="24"/>
          <w:lang w:val="en-GB"/>
        </w:rPr>
        <w:t>general measures</w:t>
      </w:r>
      <w:r>
        <w:rPr>
          <w:rFonts w:ascii="Times New Roman" w:hAnsi="Times New Roman"/>
          <w:sz w:val="24"/>
          <w:szCs w:val="24"/>
          <w:lang w:val="en-GB"/>
        </w:rPr>
        <w:t xml:space="preserve"> is at stake</w:t>
      </w:r>
      <w:r w:rsidRPr="00BD72ED">
        <w:rPr>
          <w:rFonts w:ascii="Times New Roman" w:hAnsi="Times New Roman"/>
          <w:sz w:val="24"/>
          <w:szCs w:val="24"/>
          <w:lang w:val="en-GB"/>
        </w:rPr>
        <w:t xml:space="preserve">. </w:t>
      </w:r>
      <w:r>
        <w:rPr>
          <w:rFonts w:ascii="Times New Roman" w:hAnsi="Times New Roman"/>
          <w:sz w:val="24"/>
          <w:szCs w:val="24"/>
          <w:lang w:val="en-GB"/>
        </w:rPr>
        <w:t>Furthermore, a</w:t>
      </w:r>
      <w:r w:rsidRPr="00BD72ED">
        <w:rPr>
          <w:rFonts w:ascii="Times New Roman" w:hAnsi="Times New Roman"/>
          <w:sz w:val="24"/>
          <w:szCs w:val="24"/>
          <w:lang w:val="en-GB"/>
        </w:rPr>
        <w:t>ct</w:t>
      </w:r>
      <w:r>
        <w:rPr>
          <w:rFonts w:ascii="Times New Roman" w:hAnsi="Times New Roman"/>
          <w:sz w:val="24"/>
          <w:szCs w:val="24"/>
          <w:lang w:val="en-GB"/>
        </w:rPr>
        <w:t xml:space="preserve">ions taken by </w:t>
      </w:r>
      <w:r w:rsidRPr="00BD72ED">
        <w:rPr>
          <w:rFonts w:ascii="Times New Roman" w:hAnsi="Times New Roman"/>
          <w:sz w:val="24"/>
          <w:szCs w:val="24"/>
          <w:lang w:val="en-GB"/>
        </w:rPr>
        <w:t>the Committee of Ministers should reflect the analysis of NGO communications</w:t>
      </w:r>
      <w:r>
        <w:rPr>
          <w:rFonts w:ascii="Times New Roman" w:hAnsi="Times New Roman"/>
          <w:sz w:val="24"/>
          <w:szCs w:val="24"/>
          <w:lang w:val="en-GB"/>
        </w:rPr>
        <w:t xml:space="preserve"> that has been conducted</w:t>
      </w:r>
      <w:r w:rsidRPr="00BD72ED">
        <w:rPr>
          <w:rFonts w:ascii="Times New Roman" w:hAnsi="Times New Roman"/>
          <w:sz w:val="24"/>
          <w:szCs w:val="24"/>
          <w:lang w:val="en-GB"/>
        </w:rPr>
        <w:t xml:space="preserve">. The Declaration should encourage the Committee of Ministers to amend the Rules </w:t>
      </w:r>
      <w:r>
        <w:rPr>
          <w:rFonts w:ascii="Times New Roman" w:hAnsi="Times New Roman"/>
          <w:sz w:val="24"/>
          <w:szCs w:val="24"/>
          <w:lang w:val="en-GB"/>
        </w:rPr>
        <w:t xml:space="preserve">accordingly </w:t>
      </w:r>
      <w:r w:rsidRPr="00BD72ED">
        <w:rPr>
          <w:rFonts w:ascii="Times New Roman" w:hAnsi="Times New Roman"/>
          <w:sz w:val="24"/>
          <w:szCs w:val="24"/>
          <w:lang w:val="en-GB"/>
        </w:rPr>
        <w:t xml:space="preserve">for the </w:t>
      </w:r>
      <w:r>
        <w:rPr>
          <w:rFonts w:ascii="Times New Roman" w:hAnsi="Times New Roman"/>
          <w:sz w:val="24"/>
          <w:szCs w:val="24"/>
          <w:lang w:val="en-GB"/>
        </w:rPr>
        <w:t xml:space="preserve">supervision process of the execution of </w:t>
      </w:r>
      <w:r w:rsidRPr="00BD72ED">
        <w:rPr>
          <w:rFonts w:ascii="Times New Roman" w:hAnsi="Times New Roman"/>
          <w:sz w:val="24"/>
          <w:szCs w:val="24"/>
          <w:lang w:val="en-GB"/>
        </w:rPr>
        <w:t>judgments</w:t>
      </w:r>
      <w:r>
        <w:rPr>
          <w:rFonts w:ascii="Times New Roman" w:hAnsi="Times New Roman"/>
          <w:sz w:val="24"/>
          <w:szCs w:val="24"/>
          <w:lang w:val="en-GB"/>
        </w:rPr>
        <w:t xml:space="preserve"> and decisions</w:t>
      </w:r>
      <w:r w:rsidRPr="00BD72ED">
        <w:rPr>
          <w:rFonts w:ascii="Times New Roman" w:hAnsi="Times New Roman"/>
          <w:sz w:val="24"/>
          <w:szCs w:val="24"/>
          <w:lang w:val="en-GB"/>
        </w:rPr>
        <w:t>.</w:t>
      </w:r>
    </w:p>
    <w:p w:rsidR="00D17F78" w:rsidRPr="00BD72ED" w:rsidRDefault="00D17F78" w:rsidP="00D17F78">
      <w:pPr>
        <w:pStyle w:val="NormalWeb"/>
        <w:spacing w:after="0"/>
        <w:jc w:val="both"/>
        <w:rPr>
          <w:rFonts w:ascii="Times New Roman" w:hAnsi="Times New Roman"/>
          <w:i/>
          <w:sz w:val="24"/>
          <w:szCs w:val="24"/>
          <w:lang w:val="en-GB"/>
        </w:rPr>
      </w:pPr>
      <w:r w:rsidRPr="00BD72ED">
        <w:rPr>
          <w:rFonts w:ascii="Times New Roman" w:hAnsi="Times New Roman"/>
          <w:i/>
          <w:sz w:val="24"/>
          <w:szCs w:val="24"/>
          <w:lang w:val="en-GB"/>
        </w:rPr>
        <w:t xml:space="preserve">2.3. </w:t>
      </w:r>
      <w:r>
        <w:rPr>
          <w:rFonts w:ascii="Times New Roman" w:hAnsi="Times New Roman"/>
          <w:i/>
          <w:sz w:val="24"/>
          <w:szCs w:val="24"/>
          <w:lang w:val="en-GB"/>
        </w:rPr>
        <w:t>Considerations on the c</w:t>
      </w:r>
      <w:r w:rsidRPr="00BD72ED">
        <w:rPr>
          <w:rFonts w:ascii="Times New Roman" w:hAnsi="Times New Roman"/>
          <w:i/>
          <w:sz w:val="24"/>
          <w:szCs w:val="24"/>
          <w:lang w:val="en-GB"/>
        </w:rPr>
        <w:t xml:space="preserve">ontribution of the Court to the </w:t>
      </w:r>
      <w:r>
        <w:rPr>
          <w:rFonts w:ascii="Times New Roman" w:hAnsi="Times New Roman"/>
          <w:i/>
          <w:sz w:val="24"/>
          <w:szCs w:val="24"/>
          <w:lang w:val="en-GB"/>
        </w:rPr>
        <w:t>adequate execution</w:t>
      </w:r>
      <w:r w:rsidRPr="00BD72ED">
        <w:rPr>
          <w:rFonts w:ascii="Times New Roman" w:hAnsi="Times New Roman"/>
          <w:i/>
          <w:sz w:val="24"/>
          <w:szCs w:val="24"/>
          <w:lang w:val="en-GB"/>
        </w:rPr>
        <w:t xml:space="preserve"> </w:t>
      </w:r>
      <w:r>
        <w:rPr>
          <w:rFonts w:ascii="Times New Roman" w:hAnsi="Times New Roman"/>
          <w:i/>
          <w:sz w:val="24"/>
          <w:szCs w:val="24"/>
          <w:lang w:val="en-GB"/>
        </w:rPr>
        <w:t>of judgments and the elimination</w:t>
      </w:r>
      <w:r w:rsidRPr="00BD72ED">
        <w:rPr>
          <w:rFonts w:ascii="Times New Roman" w:hAnsi="Times New Roman"/>
          <w:i/>
          <w:sz w:val="24"/>
          <w:szCs w:val="24"/>
          <w:lang w:val="en-GB"/>
        </w:rPr>
        <w:t xml:space="preserve"> of structural problems</w:t>
      </w:r>
    </w:p>
    <w:p w:rsidR="00D17F78" w:rsidRPr="00BD72ED" w:rsidRDefault="00D17F78" w:rsidP="00D17F78">
      <w:pPr>
        <w:pStyle w:val="NormalWeb"/>
        <w:spacing w:after="0"/>
        <w:jc w:val="both"/>
        <w:rPr>
          <w:rFonts w:ascii="Times New Roman" w:hAnsi="Times New Roman"/>
          <w:i/>
          <w:sz w:val="24"/>
          <w:szCs w:val="24"/>
          <w:lang w:val="en-GB"/>
        </w:rPr>
      </w:pPr>
      <w:r w:rsidRPr="007A79A3">
        <w:rPr>
          <w:rFonts w:ascii="Times New Roman" w:hAnsi="Times New Roman"/>
          <w:sz w:val="24"/>
          <w:szCs w:val="24"/>
          <w:lang w:val="en-GB"/>
        </w:rPr>
        <w:t>1</w:t>
      </w:r>
      <w:r>
        <w:rPr>
          <w:rFonts w:ascii="Times New Roman" w:hAnsi="Times New Roman"/>
          <w:sz w:val="24"/>
          <w:szCs w:val="24"/>
          <w:lang w:val="en-GB"/>
        </w:rPr>
        <w:t>8</w:t>
      </w:r>
      <w:r w:rsidRPr="007A79A3">
        <w:rPr>
          <w:rFonts w:ascii="Times New Roman" w:hAnsi="Times New Roman"/>
          <w:sz w:val="24"/>
          <w:szCs w:val="24"/>
          <w:lang w:val="en-GB"/>
        </w:rPr>
        <w:t xml:space="preserve">. </w:t>
      </w:r>
      <w:r w:rsidRPr="00BD72ED">
        <w:rPr>
          <w:rFonts w:ascii="Times New Roman" w:hAnsi="Times New Roman"/>
          <w:sz w:val="24"/>
          <w:szCs w:val="24"/>
          <w:lang w:val="en-GB"/>
        </w:rPr>
        <w:t xml:space="preserve">The Court can certainly contribute more to </w:t>
      </w:r>
      <w:r>
        <w:rPr>
          <w:rFonts w:ascii="Times New Roman" w:hAnsi="Times New Roman"/>
          <w:sz w:val="24"/>
          <w:szCs w:val="24"/>
          <w:lang w:val="en-GB"/>
        </w:rPr>
        <w:t xml:space="preserve">ease </w:t>
      </w:r>
      <w:r w:rsidRPr="00BD72ED">
        <w:rPr>
          <w:rFonts w:ascii="Times New Roman" w:hAnsi="Times New Roman"/>
          <w:sz w:val="24"/>
          <w:szCs w:val="24"/>
          <w:lang w:val="en-GB"/>
        </w:rPr>
        <w:t>the work of the various entities r</w:t>
      </w:r>
      <w:r>
        <w:rPr>
          <w:rFonts w:ascii="Times New Roman" w:hAnsi="Times New Roman"/>
          <w:sz w:val="24"/>
          <w:szCs w:val="24"/>
          <w:lang w:val="en-GB"/>
        </w:rPr>
        <w:t xml:space="preserve">esponsible for enforcing its judgements and </w:t>
      </w:r>
      <w:r w:rsidRPr="00BD72ED">
        <w:rPr>
          <w:rFonts w:ascii="Times New Roman" w:hAnsi="Times New Roman"/>
          <w:sz w:val="24"/>
          <w:szCs w:val="24"/>
          <w:lang w:val="en-GB"/>
        </w:rPr>
        <w:t xml:space="preserve">decisions or </w:t>
      </w:r>
      <w:r>
        <w:rPr>
          <w:rFonts w:ascii="Times New Roman" w:hAnsi="Times New Roman"/>
          <w:sz w:val="24"/>
          <w:szCs w:val="24"/>
          <w:lang w:val="en-GB"/>
        </w:rPr>
        <w:t>follow-up their enforcement by grouping their cases a</w:t>
      </w:r>
      <w:r w:rsidRPr="00BD72ED">
        <w:rPr>
          <w:rFonts w:ascii="Times New Roman" w:hAnsi="Times New Roman"/>
          <w:sz w:val="24"/>
          <w:szCs w:val="24"/>
          <w:lang w:val="en-GB"/>
        </w:rPr>
        <w:t>nd adapting its "stylus curiae".</w:t>
      </w:r>
    </w:p>
    <w:p w:rsidR="00D17F78" w:rsidRPr="00F62D3E" w:rsidRDefault="00D17F78" w:rsidP="00D17F78">
      <w:pPr>
        <w:pStyle w:val="NormalWeb"/>
        <w:spacing w:after="0"/>
        <w:jc w:val="both"/>
        <w:rPr>
          <w:rFonts w:ascii="Times New Roman" w:hAnsi="Times New Roman"/>
          <w:sz w:val="24"/>
          <w:szCs w:val="24"/>
          <w:lang w:val="en-GB"/>
        </w:rPr>
      </w:pPr>
      <w:r>
        <w:rPr>
          <w:rFonts w:ascii="Times New Roman" w:hAnsi="Times New Roman"/>
          <w:sz w:val="24"/>
          <w:szCs w:val="24"/>
          <w:lang w:val="en-GB"/>
        </w:rPr>
        <w:t>19</w:t>
      </w:r>
      <w:r w:rsidRPr="007A79A3">
        <w:rPr>
          <w:rFonts w:ascii="Times New Roman" w:hAnsi="Times New Roman"/>
          <w:sz w:val="24"/>
          <w:szCs w:val="24"/>
          <w:lang w:val="en-GB"/>
        </w:rPr>
        <w:t xml:space="preserve">. </w:t>
      </w:r>
      <w:r>
        <w:rPr>
          <w:rFonts w:ascii="Times New Roman" w:hAnsi="Times New Roman"/>
          <w:sz w:val="24"/>
          <w:szCs w:val="24"/>
          <w:lang w:val="en-GB"/>
        </w:rPr>
        <w:t>Streamlining</w:t>
      </w:r>
      <w:r w:rsidRPr="00F62D3E">
        <w:rPr>
          <w:rFonts w:ascii="Times New Roman" w:hAnsi="Times New Roman"/>
          <w:sz w:val="24"/>
          <w:szCs w:val="24"/>
          <w:lang w:val="en-GB"/>
        </w:rPr>
        <w:t xml:space="preserve"> the litigation process</w:t>
      </w:r>
      <w:r>
        <w:rPr>
          <w:rFonts w:ascii="Times New Roman" w:hAnsi="Times New Roman"/>
          <w:sz w:val="24"/>
          <w:szCs w:val="24"/>
          <w:lang w:val="en-GB"/>
        </w:rPr>
        <w:t xml:space="preserve"> can be achieved by</w:t>
      </w:r>
      <w:r w:rsidRPr="00F62D3E">
        <w:rPr>
          <w:rFonts w:ascii="Times New Roman" w:hAnsi="Times New Roman"/>
          <w:sz w:val="24"/>
          <w:szCs w:val="24"/>
          <w:lang w:val="en-GB"/>
        </w:rPr>
        <w:t xml:space="preserve"> grouping old and recent cases dealing with the same </w:t>
      </w:r>
      <w:r>
        <w:rPr>
          <w:rFonts w:ascii="Times New Roman" w:hAnsi="Times New Roman"/>
          <w:sz w:val="24"/>
          <w:szCs w:val="24"/>
          <w:lang w:val="en-GB"/>
        </w:rPr>
        <w:t xml:space="preserve">subject </w:t>
      </w:r>
      <w:r w:rsidRPr="00F62D3E">
        <w:rPr>
          <w:rFonts w:ascii="Times New Roman" w:hAnsi="Times New Roman"/>
          <w:sz w:val="24"/>
          <w:szCs w:val="24"/>
          <w:lang w:val="en-GB"/>
        </w:rPr>
        <w:t>matter</w:t>
      </w:r>
      <w:r>
        <w:rPr>
          <w:rFonts w:ascii="Times New Roman" w:hAnsi="Times New Roman"/>
          <w:sz w:val="24"/>
          <w:szCs w:val="24"/>
          <w:lang w:val="en-GB"/>
        </w:rPr>
        <w:t xml:space="preserve">. This </w:t>
      </w:r>
      <w:r w:rsidRPr="00F62D3E">
        <w:rPr>
          <w:rFonts w:ascii="Times New Roman" w:hAnsi="Times New Roman"/>
          <w:sz w:val="24"/>
          <w:szCs w:val="24"/>
          <w:lang w:val="en-GB"/>
        </w:rPr>
        <w:t xml:space="preserve">would </w:t>
      </w:r>
      <w:r>
        <w:rPr>
          <w:rFonts w:ascii="Times New Roman" w:hAnsi="Times New Roman"/>
          <w:sz w:val="24"/>
          <w:szCs w:val="24"/>
          <w:lang w:val="en-GB"/>
        </w:rPr>
        <w:t xml:space="preserve">allow for </w:t>
      </w:r>
      <w:r w:rsidRPr="00F62D3E">
        <w:rPr>
          <w:rFonts w:ascii="Times New Roman" w:hAnsi="Times New Roman"/>
          <w:sz w:val="24"/>
          <w:szCs w:val="24"/>
          <w:lang w:val="en-GB"/>
        </w:rPr>
        <w:t>some factor</w:t>
      </w:r>
      <w:r>
        <w:rPr>
          <w:rFonts w:ascii="Times New Roman" w:hAnsi="Times New Roman"/>
          <w:sz w:val="24"/>
          <w:szCs w:val="24"/>
          <w:lang w:val="en-GB"/>
        </w:rPr>
        <w:t>s</w:t>
      </w:r>
      <w:r w:rsidRPr="00F62D3E">
        <w:rPr>
          <w:rFonts w:ascii="Times New Roman" w:hAnsi="Times New Roman"/>
          <w:sz w:val="24"/>
          <w:szCs w:val="24"/>
          <w:lang w:val="en-GB"/>
        </w:rPr>
        <w:t xml:space="preserve"> </w:t>
      </w:r>
      <w:r>
        <w:rPr>
          <w:rFonts w:ascii="Times New Roman" w:hAnsi="Times New Roman"/>
          <w:sz w:val="24"/>
          <w:szCs w:val="24"/>
          <w:lang w:val="en-GB"/>
        </w:rPr>
        <w:t>that would help assess</w:t>
      </w:r>
      <w:r w:rsidRPr="00F62D3E">
        <w:rPr>
          <w:rFonts w:ascii="Times New Roman" w:hAnsi="Times New Roman"/>
          <w:sz w:val="24"/>
          <w:szCs w:val="24"/>
          <w:lang w:val="en-GB"/>
        </w:rPr>
        <w:t xml:space="preserve"> the latest developments in law and practice at a national level</w:t>
      </w:r>
      <w:r>
        <w:rPr>
          <w:rFonts w:ascii="Times New Roman" w:hAnsi="Times New Roman"/>
          <w:sz w:val="24"/>
          <w:szCs w:val="24"/>
          <w:lang w:val="en-GB"/>
        </w:rPr>
        <w:t xml:space="preserve"> concerning the issue at hand</w:t>
      </w:r>
      <w:r w:rsidRPr="00F62D3E">
        <w:rPr>
          <w:rFonts w:ascii="Times New Roman" w:hAnsi="Times New Roman"/>
          <w:sz w:val="24"/>
          <w:szCs w:val="24"/>
          <w:lang w:val="en-GB"/>
        </w:rPr>
        <w:t xml:space="preserve">, </w:t>
      </w:r>
      <w:r>
        <w:rPr>
          <w:rFonts w:ascii="Times New Roman" w:hAnsi="Times New Roman"/>
          <w:sz w:val="24"/>
          <w:szCs w:val="24"/>
          <w:lang w:val="en-GB"/>
        </w:rPr>
        <w:t xml:space="preserve">thereby </w:t>
      </w:r>
      <w:r w:rsidRPr="00F62D3E">
        <w:rPr>
          <w:rFonts w:ascii="Times New Roman" w:hAnsi="Times New Roman"/>
          <w:sz w:val="24"/>
          <w:szCs w:val="24"/>
          <w:lang w:val="en-GB"/>
        </w:rPr>
        <w:t>boost</w:t>
      </w:r>
      <w:r>
        <w:rPr>
          <w:rFonts w:ascii="Times New Roman" w:hAnsi="Times New Roman"/>
          <w:sz w:val="24"/>
          <w:szCs w:val="24"/>
          <w:lang w:val="en-GB"/>
        </w:rPr>
        <w:t>ing</w:t>
      </w:r>
      <w:r w:rsidRPr="00F62D3E">
        <w:rPr>
          <w:rFonts w:ascii="Times New Roman" w:hAnsi="Times New Roman"/>
          <w:sz w:val="24"/>
          <w:szCs w:val="24"/>
          <w:lang w:val="en-GB"/>
        </w:rPr>
        <w:t xml:space="preserve"> the</w:t>
      </w:r>
      <w:r>
        <w:rPr>
          <w:rFonts w:ascii="Times New Roman" w:hAnsi="Times New Roman"/>
          <w:sz w:val="24"/>
          <w:szCs w:val="24"/>
          <w:lang w:val="en-GB"/>
        </w:rPr>
        <w:t xml:space="preserve"> execution </w:t>
      </w:r>
      <w:r w:rsidRPr="00F62D3E">
        <w:rPr>
          <w:rFonts w:ascii="Times New Roman" w:hAnsi="Times New Roman"/>
          <w:sz w:val="24"/>
          <w:szCs w:val="24"/>
          <w:lang w:val="en-GB"/>
        </w:rPr>
        <w:t>process</w:t>
      </w:r>
      <w:r>
        <w:rPr>
          <w:rFonts w:ascii="Times New Roman" w:hAnsi="Times New Roman"/>
          <w:sz w:val="24"/>
          <w:szCs w:val="24"/>
          <w:lang w:val="en-GB"/>
        </w:rPr>
        <w:t xml:space="preserve">, at the </w:t>
      </w:r>
      <w:r w:rsidRPr="00F62D3E">
        <w:rPr>
          <w:rFonts w:ascii="Times New Roman" w:hAnsi="Times New Roman"/>
          <w:sz w:val="24"/>
          <w:szCs w:val="24"/>
          <w:lang w:val="en-GB"/>
        </w:rPr>
        <w:t>internal</w:t>
      </w:r>
      <w:r>
        <w:rPr>
          <w:rFonts w:ascii="Times New Roman" w:hAnsi="Times New Roman"/>
          <w:sz w:val="24"/>
          <w:szCs w:val="24"/>
          <w:lang w:val="en-GB"/>
        </w:rPr>
        <w:t xml:space="preserve"> level, at the </w:t>
      </w:r>
      <w:r w:rsidRPr="00F62D3E">
        <w:rPr>
          <w:rFonts w:ascii="Times New Roman" w:hAnsi="Times New Roman"/>
          <w:sz w:val="24"/>
          <w:szCs w:val="24"/>
          <w:lang w:val="en-GB"/>
        </w:rPr>
        <w:t xml:space="preserve">Committee of Ministers </w:t>
      </w:r>
      <w:r>
        <w:rPr>
          <w:rFonts w:ascii="Times New Roman" w:hAnsi="Times New Roman"/>
          <w:sz w:val="24"/>
          <w:szCs w:val="24"/>
          <w:lang w:val="en-GB"/>
        </w:rPr>
        <w:t xml:space="preserve">level and at the </w:t>
      </w:r>
      <w:r w:rsidRPr="00F71CB4">
        <w:rPr>
          <w:rFonts w:ascii="Times New Roman" w:hAnsi="Times New Roman"/>
          <w:sz w:val="24"/>
          <w:szCs w:val="24"/>
          <w:lang w:val="en-GB"/>
        </w:rPr>
        <w:t>Department for the Execution of Judgments</w:t>
      </w:r>
      <w:r>
        <w:rPr>
          <w:rFonts w:ascii="Times New Roman" w:hAnsi="Times New Roman"/>
          <w:sz w:val="24"/>
          <w:szCs w:val="24"/>
          <w:lang w:val="en-GB"/>
        </w:rPr>
        <w:t xml:space="preserve">, </w:t>
      </w:r>
      <w:r w:rsidRPr="00F62D3E">
        <w:rPr>
          <w:rFonts w:ascii="Times New Roman" w:hAnsi="Times New Roman"/>
          <w:sz w:val="24"/>
          <w:szCs w:val="24"/>
          <w:lang w:val="en-GB"/>
        </w:rPr>
        <w:t xml:space="preserve">and particularly in relation to the large backlog </w:t>
      </w:r>
      <w:r>
        <w:rPr>
          <w:rFonts w:ascii="Times New Roman" w:hAnsi="Times New Roman"/>
          <w:sz w:val="24"/>
          <w:szCs w:val="24"/>
          <w:lang w:val="en-GB"/>
        </w:rPr>
        <w:t>that currently exists.</w:t>
      </w:r>
    </w:p>
    <w:p w:rsidR="00D17F78" w:rsidRPr="00875C11" w:rsidRDefault="00D17F78" w:rsidP="00D17F78">
      <w:pPr>
        <w:pStyle w:val="NormalWeb"/>
        <w:spacing w:after="0"/>
        <w:jc w:val="both"/>
        <w:rPr>
          <w:rFonts w:ascii="Times New Roman" w:hAnsi="Times New Roman"/>
          <w:sz w:val="24"/>
          <w:szCs w:val="24"/>
          <w:lang w:val="en-GB"/>
        </w:rPr>
      </w:pPr>
      <w:r w:rsidRPr="007A79A3">
        <w:rPr>
          <w:rFonts w:ascii="Times New Roman" w:hAnsi="Times New Roman"/>
          <w:sz w:val="24"/>
          <w:szCs w:val="24"/>
          <w:lang w:val="en-GB"/>
        </w:rPr>
        <w:t>2</w:t>
      </w:r>
      <w:r>
        <w:rPr>
          <w:rFonts w:ascii="Times New Roman" w:hAnsi="Times New Roman"/>
          <w:sz w:val="24"/>
          <w:szCs w:val="24"/>
          <w:lang w:val="en-GB"/>
        </w:rPr>
        <w:t>0</w:t>
      </w:r>
      <w:r w:rsidRPr="007A79A3">
        <w:rPr>
          <w:rFonts w:ascii="Times New Roman" w:hAnsi="Times New Roman"/>
          <w:sz w:val="24"/>
          <w:szCs w:val="24"/>
          <w:lang w:val="en-GB"/>
        </w:rPr>
        <w:t xml:space="preserve">. </w:t>
      </w:r>
      <w:r w:rsidRPr="00DB709F">
        <w:rPr>
          <w:rFonts w:ascii="Times New Roman" w:hAnsi="Times New Roman"/>
          <w:sz w:val="24"/>
          <w:szCs w:val="24"/>
          <w:lang w:val="en-GB"/>
        </w:rPr>
        <w:t>Consolidation of principles</w:t>
      </w:r>
      <w:r>
        <w:rPr>
          <w:rFonts w:ascii="Times New Roman" w:hAnsi="Times New Roman"/>
          <w:sz w:val="24"/>
          <w:szCs w:val="24"/>
          <w:lang w:val="en-GB"/>
        </w:rPr>
        <w:t xml:space="preserve"> of a general nature concerning </w:t>
      </w:r>
      <w:r w:rsidRPr="00BD72ED">
        <w:rPr>
          <w:rFonts w:ascii="Times New Roman" w:hAnsi="Times New Roman"/>
          <w:sz w:val="24"/>
          <w:szCs w:val="24"/>
          <w:lang w:val="en-GB"/>
        </w:rPr>
        <w:t>the drafting practice of the Court</w:t>
      </w:r>
      <w:r>
        <w:rPr>
          <w:rFonts w:ascii="Times New Roman" w:hAnsi="Times New Roman"/>
          <w:sz w:val="24"/>
          <w:szCs w:val="24"/>
          <w:lang w:val="en-GB"/>
        </w:rPr>
        <w:t xml:space="preserve"> would greatly contribute to a better </w:t>
      </w:r>
      <w:r w:rsidRPr="00BD72ED">
        <w:rPr>
          <w:rFonts w:ascii="Times New Roman" w:hAnsi="Times New Roman"/>
          <w:sz w:val="24"/>
          <w:szCs w:val="24"/>
          <w:lang w:val="en-GB"/>
        </w:rPr>
        <w:t xml:space="preserve">understanding of the </w:t>
      </w:r>
      <w:r>
        <w:rPr>
          <w:rFonts w:ascii="Times New Roman" w:hAnsi="Times New Roman"/>
          <w:sz w:val="24"/>
          <w:szCs w:val="24"/>
          <w:lang w:val="en-GB"/>
        </w:rPr>
        <w:t>C</w:t>
      </w:r>
      <w:r w:rsidRPr="00BD72ED">
        <w:rPr>
          <w:rFonts w:ascii="Times New Roman" w:hAnsi="Times New Roman"/>
          <w:sz w:val="24"/>
          <w:szCs w:val="24"/>
          <w:lang w:val="en-GB"/>
        </w:rPr>
        <w:t xml:space="preserve">onvention requirements. The indication of </w:t>
      </w:r>
      <w:r>
        <w:rPr>
          <w:rFonts w:ascii="Times New Roman" w:hAnsi="Times New Roman"/>
          <w:sz w:val="24"/>
          <w:szCs w:val="24"/>
          <w:lang w:val="en-GB"/>
        </w:rPr>
        <w:t xml:space="preserve">the </w:t>
      </w:r>
      <w:r w:rsidRPr="00BD72ED">
        <w:rPr>
          <w:rFonts w:ascii="Times New Roman" w:hAnsi="Times New Roman"/>
          <w:sz w:val="24"/>
          <w:szCs w:val="24"/>
          <w:lang w:val="en-GB"/>
        </w:rPr>
        <w:t xml:space="preserve">general measures </w:t>
      </w:r>
      <w:r>
        <w:rPr>
          <w:rFonts w:ascii="Times New Roman" w:hAnsi="Times New Roman"/>
          <w:sz w:val="24"/>
          <w:szCs w:val="24"/>
          <w:lang w:val="en-GB"/>
        </w:rPr>
        <w:t xml:space="preserve">required by the operative paragraphs of </w:t>
      </w:r>
      <w:r w:rsidRPr="00BD72ED">
        <w:rPr>
          <w:rFonts w:ascii="Times New Roman" w:hAnsi="Times New Roman"/>
          <w:sz w:val="24"/>
          <w:szCs w:val="24"/>
          <w:lang w:val="en-GB"/>
        </w:rPr>
        <w:t xml:space="preserve">decisions following the finding of a violation </w:t>
      </w:r>
      <w:r>
        <w:rPr>
          <w:rFonts w:ascii="Times New Roman" w:hAnsi="Times New Roman"/>
          <w:sz w:val="24"/>
          <w:szCs w:val="24"/>
          <w:lang w:val="en-GB"/>
        </w:rPr>
        <w:t>should</w:t>
      </w:r>
      <w:r w:rsidRPr="00BD72ED">
        <w:rPr>
          <w:rFonts w:ascii="Times New Roman" w:hAnsi="Times New Roman"/>
          <w:sz w:val="24"/>
          <w:szCs w:val="24"/>
          <w:lang w:val="en-GB"/>
        </w:rPr>
        <w:t xml:space="preserve"> be extended. The accuracy of the general measures should help guide the </w:t>
      </w:r>
      <w:r w:rsidRPr="00F71CB4">
        <w:rPr>
          <w:rFonts w:ascii="Times New Roman" w:hAnsi="Times New Roman"/>
          <w:sz w:val="24"/>
          <w:szCs w:val="24"/>
          <w:lang w:val="en-GB"/>
        </w:rPr>
        <w:t>Department for the Execution of Judgments</w:t>
      </w:r>
      <w:r w:rsidRPr="00BD72ED">
        <w:rPr>
          <w:rFonts w:ascii="Times New Roman" w:hAnsi="Times New Roman"/>
          <w:sz w:val="24"/>
          <w:szCs w:val="24"/>
          <w:lang w:val="en-GB"/>
        </w:rPr>
        <w:t xml:space="preserve">, the Committee of Ministers and the State </w:t>
      </w:r>
      <w:r>
        <w:rPr>
          <w:rFonts w:ascii="Times New Roman" w:hAnsi="Times New Roman"/>
          <w:sz w:val="24"/>
          <w:szCs w:val="24"/>
          <w:lang w:val="en-GB"/>
        </w:rPr>
        <w:t>p</w:t>
      </w:r>
      <w:r w:rsidRPr="00BD72ED">
        <w:rPr>
          <w:rFonts w:ascii="Times New Roman" w:hAnsi="Times New Roman"/>
          <w:sz w:val="24"/>
          <w:szCs w:val="24"/>
          <w:lang w:val="en-GB"/>
        </w:rPr>
        <w:t xml:space="preserve">arties responsible for the </w:t>
      </w:r>
      <w:r>
        <w:rPr>
          <w:rFonts w:ascii="Times New Roman" w:hAnsi="Times New Roman"/>
          <w:sz w:val="24"/>
          <w:szCs w:val="24"/>
          <w:lang w:val="en-GB"/>
        </w:rPr>
        <w:t xml:space="preserve">execution of judgments and decision and the </w:t>
      </w:r>
      <w:r w:rsidRPr="00BD72ED">
        <w:rPr>
          <w:rFonts w:ascii="Times New Roman" w:hAnsi="Times New Roman"/>
          <w:sz w:val="24"/>
          <w:szCs w:val="24"/>
          <w:lang w:val="en-GB"/>
        </w:rPr>
        <w:t xml:space="preserve">drafting of </w:t>
      </w:r>
      <w:r>
        <w:rPr>
          <w:rFonts w:ascii="Times New Roman" w:hAnsi="Times New Roman"/>
          <w:sz w:val="24"/>
          <w:szCs w:val="24"/>
          <w:lang w:val="en-GB"/>
        </w:rPr>
        <w:t>A</w:t>
      </w:r>
      <w:r w:rsidRPr="00BD72ED">
        <w:rPr>
          <w:rFonts w:ascii="Times New Roman" w:hAnsi="Times New Roman"/>
          <w:sz w:val="24"/>
          <w:szCs w:val="24"/>
          <w:lang w:val="en-GB"/>
        </w:rPr>
        <w:t xml:space="preserve">ction plans. State </w:t>
      </w:r>
      <w:r>
        <w:rPr>
          <w:rFonts w:ascii="Times New Roman" w:hAnsi="Times New Roman"/>
          <w:sz w:val="24"/>
          <w:szCs w:val="24"/>
          <w:lang w:val="en-GB"/>
        </w:rPr>
        <w:t>p</w:t>
      </w:r>
      <w:r w:rsidRPr="00BD72ED">
        <w:rPr>
          <w:rFonts w:ascii="Times New Roman" w:hAnsi="Times New Roman"/>
          <w:sz w:val="24"/>
          <w:szCs w:val="24"/>
          <w:lang w:val="en-GB"/>
        </w:rPr>
        <w:t>arties should t</w:t>
      </w:r>
      <w:r>
        <w:rPr>
          <w:rFonts w:ascii="Times New Roman" w:hAnsi="Times New Roman"/>
          <w:sz w:val="24"/>
          <w:szCs w:val="24"/>
          <w:lang w:val="en-GB"/>
        </w:rPr>
        <w:t>hus invite the Court to initiate</w:t>
      </w:r>
      <w:r w:rsidRPr="00BD72ED">
        <w:rPr>
          <w:rFonts w:ascii="Times New Roman" w:hAnsi="Times New Roman"/>
          <w:sz w:val="24"/>
          <w:szCs w:val="24"/>
          <w:lang w:val="en-GB"/>
        </w:rPr>
        <w:t xml:space="preserve"> an internal </w:t>
      </w:r>
      <w:r>
        <w:rPr>
          <w:rFonts w:ascii="Times New Roman" w:hAnsi="Times New Roman"/>
          <w:sz w:val="24"/>
          <w:szCs w:val="24"/>
          <w:lang w:val="en-GB"/>
        </w:rPr>
        <w:t>debate</w:t>
      </w:r>
      <w:r w:rsidRPr="00BD72ED">
        <w:rPr>
          <w:rFonts w:ascii="Times New Roman" w:hAnsi="Times New Roman"/>
          <w:sz w:val="24"/>
          <w:szCs w:val="24"/>
          <w:lang w:val="en-GB"/>
        </w:rPr>
        <w:t xml:space="preserve"> within the framework of the revision of the Rules of Procedure.</w:t>
      </w:r>
    </w:p>
    <w:p w:rsidR="00D17F78" w:rsidRPr="00487D23" w:rsidRDefault="00D17F78" w:rsidP="00D17F78">
      <w:pPr>
        <w:pStyle w:val="NormalWeb"/>
        <w:spacing w:after="0"/>
        <w:jc w:val="both"/>
        <w:rPr>
          <w:rFonts w:ascii="Times New Roman" w:hAnsi="Times New Roman"/>
          <w:sz w:val="24"/>
          <w:szCs w:val="24"/>
          <w:u w:val="single"/>
          <w:lang w:val="en-US"/>
        </w:rPr>
      </w:pPr>
      <w:r>
        <w:rPr>
          <w:rFonts w:ascii="Times New Roman" w:hAnsi="Times New Roman"/>
          <w:sz w:val="24"/>
          <w:szCs w:val="24"/>
          <w:lang w:val="en-GB"/>
        </w:rPr>
        <w:t>21</w:t>
      </w:r>
      <w:r w:rsidRPr="00875C11">
        <w:rPr>
          <w:rFonts w:ascii="Times New Roman" w:hAnsi="Times New Roman"/>
          <w:sz w:val="24"/>
          <w:szCs w:val="24"/>
          <w:lang w:val="en-GB"/>
        </w:rPr>
        <w:t xml:space="preserve">. Above all, the possibility of lodging an application on behalf of </w:t>
      </w:r>
      <w:r>
        <w:rPr>
          <w:rFonts w:ascii="Times New Roman" w:hAnsi="Times New Roman"/>
          <w:sz w:val="24"/>
          <w:szCs w:val="24"/>
          <w:lang w:val="en-GB"/>
        </w:rPr>
        <w:t xml:space="preserve">the </w:t>
      </w:r>
      <w:r w:rsidRPr="00875C11">
        <w:rPr>
          <w:rFonts w:ascii="Times New Roman" w:hAnsi="Times New Roman"/>
          <w:sz w:val="24"/>
          <w:szCs w:val="24"/>
          <w:lang w:val="en-GB"/>
        </w:rPr>
        <w:t>colle</w:t>
      </w:r>
      <w:r>
        <w:rPr>
          <w:rFonts w:ascii="Times New Roman" w:hAnsi="Times New Roman"/>
          <w:sz w:val="24"/>
          <w:szCs w:val="24"/>
          <w:lang w:val="en-GB"/>
        </w:rPr>
        <w:t>ctive interest, allowing organis</w:t>
      </w:r>
      <w:r w:rsidRPr="00875C11">
        <w:rPr>
          <w:rFonts w:ascii="Times New Roman" w:hAnsi="Times New Roman"/>
          <w:sz w:val="24"/>
          <w:szCs w:val="24"/>
          <w:lang w:val="en-GB"/>
        </w:rPr>
        <w:t xml:space="preserve">ations to bring before the Court a dispute involving the social purpose for which they were established, would constitute an expedient way of handling </w:t>
      </w:r>
      <w:r>
        <w:rPr>
          <w:rFonts w:ascii="Times New Roman" w:hAnsi="Times New Roman"/>
          <w:sz w:val="24"/>
          <w:szCs w:val="24"/>
          <w:lang w:val="en-GB"/>
        </w:rPr>
        <w:t>contentious</w:t>
      </w:r>
      <w:r w:rsidRPr="00875C11">
        <w:rPr>
          <w:rFonts w:ascii="Times New Roman" w:hAnsi="Times New Roman"/>
          <w:sz w:val="24"/>
          <w:szCs w:val="24"/>
          <w:lang w:val="en-GB"/>
        </w:rPr>
        <w:t xml:space="preserve"> cases concerning serious malfunctions. Such a system would enable cases to be quickly brought before the Court, before the situations concerned have given rise to significant litigation, and based upon grounds that will in general be more accurate that the ones put forward by individual applicants. Prominent members of the Court have voted in this direction</w:t>
      </w:r>
      <w:r>
        <w:rPr>
          <w:rFonts w:ascii="Times New Roman" w:hAnsi="Times New Roman"/>
          <w:sz w:val="24"/>
          <w:szCs w:val="24"/>
          <w:lang w:val="en-GB"/>
        </w:rPr>
        <w:t>.</w:t>
      </w:r>
      <w:r w:rsidRPr="00875C11">
        <w:rPr>
          <w:rStyle w:val="Refdenotaderodap"/>
          <w:rFonts w:ascii="Times New Roman" w:hAnsi="Times New Roman"/>
          <w:sz w:val="24"/>
          <w:szCs w:val="24"/>
        </w:rPr>
        <w:footnoteReference w:id="17"/>
      </w:r>
      <w:r w:rsidRPr="00875C11">
        <w:rPr>
          <w:rFonts w:ascii="Times New Roman" w:hAnsi="Times New Roman"/>
          <w:sz w:val="24"/>
          <w:szCs w:val="24"/>
          <w:lang w:val="en-GB"/>
        </w:rPr>
        <w:t xml:space="preserve"> The case law of the Court itself has recently experienced developments</w:t>
      </w:r>
      <w:r w:rsidRPr="00875C11">
        <w:rPr>
          <w:rStyle w:val="Refdenotaderodap"/>
          <w:rFonts w:ascii="Times New Roman" w:hAnsi="Times New Roman"/>
          <w:sz w:val="24"/>
          <w:szCs w:val="24"/>
        </w:rPr>
        <w:footnoteReference w:id="18"/>
      </w:r>
      <w:r w:rsidRPr="00875C11">
        <w:rPr>
          <w:rFonts w:ascii="Times New Roman" w:hAnsi="Times New Roman"/>
          <w:sz w:val="24"/>
          <w:szCs w:val="24"/>
          <w:lang w:val="en-GB"/>
        </w:rPr>
        <w:t xml:space="preserve"> The gap between the leading role of NGOs </w:t>
      </w:r>
      <w:r w:rsidRPr="00875C11">
        <w:rPr>
          <w:rFonts w:ascii="Times New Roman" w:hAnsi="Times New Roman"/>
          <w:sz w:val="24"/>
          <w:szCs w:val="24"/>
          <w:lang w:val="en-GB"/>
        </w:rPr>
        <w:lastRenderedPageBreak/>
        <w:t xml:space="preserve">recognized by many national legal systems and the denial of legal standing to them by the European Court decisions will become apparent when national courts will refer a question directly to the Court, on the basis of Protocol No. 16 concerning </w:t>
      </w:r>
      <w:r>
        <w:rPr>
          <w:rFonts w:ascii="Times New Roman" w:hAnsi="Times New Roman"/>
          <w:sz w:val="24"/>
          <w:szCs w:val="24"/>
          <w:lang w:val="en-GB"/>
        </w:rPr>
        <w:t>application</w:t>
      </w:r>
      <w:r w:rsidRPr="00875C11">
        <w:rPr>
          <w:rFonts w:ascii="Times New Roman" w:hAnsi="Times New Roman"/>
          <w:sz w:val="24"/>
          <w:szCs w:val="24"/>
          <w:lang w:val="en-GB"/>
        </w:rPr>
        <w:t xml:space="preserve">s for </w:t>
      </w:r>
      <w:r>
        <w:rPr>
          <w:rFonts w:ascii="Times New Roman" w:hAnsi="Times New Roman"/>
          <w:sz w:val="24"/>
          <w:szCs w:val="24"/>
          <w:lang w:val="en-GB"/>
        </w:rPr>
        <w:t xml:space="preserve">an </w:t>
      </w:r>
      <w:r w:rsidRPr="00875C11">
        <w:rPr>
          <w:rFonts w:ascii="Times New Roman" w:hAnsi="Times New Roman"/>
          <w:sz w:val="24"/>
          <w:szCs w:val="24"/>
          <w:lang w:val="en-GB"/>
        </w:rPr>
        <w:t xml:space="preserve">opinion in the context of proceedings brought by </w:t>
      </w:r>
      <w:r w:rsidRPr="001D7033">
        <w:rPr>
          <w:rFonts w:ascii="Times New Roman" w:hAnsi="Times New Roman"/>
          <w:sz w:val="24"/>
          <w:szCs w:val="24"/>
          <w:lang w:val="en-GB"/>
        </w:rPr>
        <w:t>NGOs.</w:t>
      </w:r>
      <w:r w:rsidRPr="001D7033">
        <w:rPr>
          <w:rStyle w:val="Refdenotaderodap"/>
          <w:rFonts w:ascii="Times New Roman" w:hAnsi="Times New Roman"/>
          <w:sz w:val="24"/>
          <w:szCs w:val="24"/>
        </w:rPr>
        <w:footnoteReference w:id="19"/>
      </w:r>
      <w:r w:rsidRPr="001D7033">
        <w:rPr>
          <w:rFonts w:ascii="Times New Roman" w:hAnsi="Times New Roman"/>
          <w:sz w:val="24"/>
          <w:szCs w:val="24"/>
          <w:lang w:val="en-GB"/>
        </w:rPr>
        <w:t xml:space="preserve"> </w:t>
      </w:r>
      <w:r w:rsidR="00FA484B" w:rsidRPr="001D7033">
        <w:rPr>
          <w:rFonts w:ascii="Times New Roman" w:hAnsi="Times New Roman"/>
          <w:sz w:val="24"/>
          <w:szCs w:val="24"/>
          <w:lang w:val="en-GB"/>
        </w:rPr>
        <w:t>It appears that the CDDH examined the hypothesis of a transposition of the collective complaint under the European Social Charter</w:t>
      </w:r>
      <w:r w:rsidR="00FA484B" w:rsidRPr="001D7033">
        <w:rPr>
          <w:rStyle w:val="Refdenotaderodap"/>
          <w:rFonts w:ascii="Times New Roman" w:hAnsi="Times New Roman"/>
          <w:sz w:val="24"/>
          <w:szCs w:val="24"/>
        </w:rPr>
        <w:footnoteReference w:id="20"/>
      </w:r>
      <w:r w:rsidR="00FA484B" w:rsidRPr="001D7033">
        <w:rPr>
          <w:rFonts w:ascii="Times New Roman" w:hAnsi="Times New Roman"/>
          <w:sz w:val="24"/>
          <w:szCs w:val="24"/>
          <w:lang w:val="en-GB"/>
        </w:rPr>
        <w:t xml:space="preserve">. The CDDH rejected it, considering, in particular, that such a scheme, which is not subject to the exhaustion of remedies, would carry too deep modifications in the existing system. It is important that the merits of a mechanism that would be designed in accordance with the principle of </w:t>
      </w:r>
      <w:proofErr w:type="gramStart"/>
      <w:r w:rsidR="00FA484B" w:rsidRPr="001D7033">
        <w:rPr>
          <w:rFonts w:ascii="Times New Roman" w:hAnsi="Times New Roman"/>
          <w:sz w:val="24"/>
          <w:szCs w:val="24"/>
          <w:lang w:val="en-GB"/>
        </w:rPr>
        <w:t>subsidiarity,</w:t>
      </w:r>
      <w:proofErr w:type="gramEnd"/>
      <w:r w:rsidR="00FA484B" w:rsidRPr="001D7033">
        <w:rPr>
          <w:rFonts w:ascii="Times New Roman" w:hAnsi="Times New Roman"/>
          <w:sz w:val="24"/>
          <w:szCs w:val="24"/>
          <w:lang w:val="en-GB"/>
        </w:rPr>
        <w:t xml:space="preserve"> be seriously </w:t>
      </w:r>
      <w:r w:rsidR="001D7033" w:rsidRPr="001D7033">
        <w:rPr>
          <w:rFonts w:ascii="Times New Roman" w:hAnsi="Times New Roman"/>
          <w:sz w:val="24"/>
          <w:szCs w:val="24"/>
          <w:lang w:val="en-GB"/>
        </w:rPr>
        <w:t>analysed</w:t>
      </w:r>
      <w:r w:rsidR="00FA484B" w:rsidRPr="001D7033">
        <w:rPr>
          <w:rFonts w:ascii="Times New Roman" w:hAnsi="Times New Roman"/>
          <w:sz w:val="24"/>
          <w:szCs w:val="24"/>
          <w:lang w:val="en-GB"/>
        </w:rPr>
        <w:t>.</w:t>
      </w:r>
      <w:r w:rsidRPr="00487D23">
        <w:rPr>
          <w:rFonts w:ascii="Times New Roman" w:hAnsi="Times New Roman"/>
          <w:sz w:val="24"/>
          <w:szCs w:val="24"/>
          <w:lang w:val="en-US"/>
        </w:rPr>
        <w:t xml:space="preserve"> </w:t>
      </w:r>
    </w:p>
    <w:p w:rsidR="00D17F78" w:rsidRPr="00A3298E" w:rsidRDefault="00D17F78" w:rsidP="00D17F78">
      <w:pPr>
        <w:pStyle w:val="NormalWeb"/>
        <w:spacing w:after="0"/>
        <w:ind w:left="708"/>
        <w:jc w:val="both"/>
        <w:rPr>
          <w:rFonts w:ascii="Times New Roman" w:hAnsi="Times New Roman"/>
          <w:sz w:val="24"/>
          <w:szCs w:val="24"/>
          <w:u w:val="single"/>
          <w:lang w:val="en-US"/>
        </w:rPr>
      </w:pPr>
      <w:r w:rsidRPr="00A3298E">
        <w:rPr>
          <w:rFonts w:ascii="Times New Roman" w:hAnsi="Times New Roman"/>
          <w:sz w:val="24"/>
          <w:szCs w:val="24"/>
          <w:u w:val="single"/>
          <w:lang w:val="en-US"/>
        </w:rPr>
        <w:t xml:space="preserve">3- </w:t>
      </w:r>
      <w:r>
        <w:rPr>
          <w:rFonts w:ascii="Times New Roman" w:hAnsi="Times New Roman"/>
          <w:sz w:val="24"/>
          <w:szCs w:val="24"/>
          <w:u w:val="single"/>
          <w:lang w:val="en-US"/>
        </w:rPr>
        <w:t>On</w:t>
      </w:r>
      <w:r w:rsidRPr="00A3298E">
        <w:rPr>
          <w:rFonts w:ascii="Times New Roman" w:hAnsi="Times New Roman"/>
          <w:sz w:val="24"/>
          <w:szCs w:val="24"/>
          <w:u w:val="single"/>
          <w:lang w:val="en-US"/>
        </w:rPr>
        <w:t xml:space="preserve"> the </w:t>
      </w:r>
      <w:r>
        <w:rPr>
          <w:rFonts w:ascii="Times New Roman" w:hAnsi="Times New Roman"/>
          <w:sz w:val="24"/>
          <w:szCs w:val="24"/>
          <w:u w:val="single"/>
          <w:lang w:val="en-US"/>
        </w:rPr>
        <w:t>execution</w:t>
      </w:r>
      <w:r w:rsidRPr="00A3298E">
        <w:rPr>
          <w:rFonts w:ascii="Times New Roman" w:hAnsi="Times New Roman"/>
          <w:sz w:val="24"/>
          <w:szCs w:val="24"/>
          <w:u w:val="single"/>
          <w:lang w:val="en-US"/>
        </w:rPr>
        <w:t xml:space="preserve"> of Court's judgments</w:t>
      </w:r>
      <w:r>
        <w:rPr>
          <w:rFonts w:ascii="Times New Roman" w:hAnsi="Times New Roman"/>
          <w:sz w:val="24"/>
          <w:szCs w:val="24"/>
          <w:u w:val="single"/>
          <w:lang w:val="en-US"/>
        </w:rPr>
        <w:t xml:space="preserve"> at the national level: integrating civil society into the definition process of an internal oversight system</w:t>
      </w:r>
    </w:p>
    <w:p w:rsidR="00D17F78" w:rsidRPr="0026578F" w:rsidRDefault="00D17F78" w:rsidP="00D17F78">
      <w:pPr>
        <w:pStyle w:val="NormalWeb"/>
        <w:spacing w:after="0"/>
        <w:jc w:val="both"/>
        <w:rPr>
          <w:rFonts w:ascii="Times New Roman" w:hAnsi="Times New Roman"/>
          <w:sz w:val="24"/>
          <w:szCs w:val="24"/>
          <w:lang w:val="en-US"/>
        </w:rPr>
      </w:pPr>
      <w:r w:rsidRPr="006A5F90">
        <w:rPr>
          <w:rFonts w:ascii="Times New Roman" w:hAnsi="Times New Roman"/>
          <w:sz w:val="24"/>
          <w:szCs w:val="24"/>
          <w:lang w:val="en-US"/>
        </w:rPr>
        <w:t>2</w:t>
      </w:r>
      <w:r w:rsidR="007204FF">
        <w:rPr>
          <w:rFonts w:ascii="Times New Roman" w:hAnsi="Times New Roman"/>
          <w:sz w:val="24"/>
          <w:szCs w:val="24"/>
          <w:lang w:val="en-US"/>
        </w:rPr>
        <w:t>2</w:t>
      </w:r>
      <w:r w:rsidRPr="006A5F90">
        <w:rPr>
          <w:rFonts w:ascii="Times New Roman" w:hAnsi="Times New Roman"/>
          <w:sz w:val="24"/>
          <w:szCs w:val="24"/>
          <w:lang w:val="en-US"/>
        </w:rPr>
        <w:t>. The Brig</w:t>
      </w:r>
      <w:r>
        <w:rPr>
          <w:rFonts w:ascii="Times New Roman" w:hAnsi="Times New Roman"/>
          <w:sz w:val="24"/>
          <w:szCs w:val="24"/>
          <w:lang w:val="en-US"/>
        </w:rPr>
        <w:t>h</w:t>
      </w:r>
      <w:r w:rsidRPr="006A5F90">
        <w:rPr>
          <w:rFonts w:ascii="Times New Roman" w:hAnsi="Times New Roman"/>
          <w:sz w:val="24"/>
          <w:szCs w:val="24"/>
          <w:lang w:val="en-US"/>
        </w:rPr>
        <w:t xml:space="preserve">ton Declaration recalls the importance of implementing </w:t>
      </w:r>
      <w:r>
        <w:rPr>
          <w:rFonts w:ascii="Times New Roman" w:hAnsi="Times New Roman"/>
          <w:sz w:val="24"/>
          <w:szCs w:val="24"/>
          <w:lang w:val="en-US"/>
        </w:rPr>
        <w:t>the s</w:t>
      </w:r>
      <w:r w:rsidRPr="006A5F90">
        <w:rPr>
          <w:rFonts w:ascii="Times New Roman" w:hAnsi="Times New Roman"/>
          <w:sz w:val="24"/>
          <w:szCs w:val="24"/>
          <w:lang w:val="en-US"/>
        </w:rPr>
        <w:t>ubsidiarity principle</w:t>
      </w:r>
      <w:r>
        <w:rPr>
          <w:rFonts w:ascii="Times New Roman" w:hAnsi="Times New Roman"/>
          <w:sz w:val="24"/>
          <w:szCs w:val="24"/>
          <w:lang w:val="en-US"/>
        </w:rPr>
        <w:t xml:space="preserve"> in order to achieve the </w:t>
      </w:r>
      <w:r w:rsidRPr="006A5F90">
        <w:rPr>
          <w:rFonts w:ascii="Times New Roman" w:hAnsi="Times New Roman"/>
          <w:sz w:val="24"/>
          <w:szCs w:val="24"/>
          <w:lang w:val="en-US"/>
        </w:rPr>
        <w:t>execution of Court's judgments</w:t>
      </w:r>
      <w:r>
        <w:rPr>
          <w:rFonts w:ascii="Times New Roman" w:hAnsi="Times New Roman"/>
          <w:sz w:val="24"/>
          <w:szCs w:val="24"/>
          <w:lang w:val="en-US"/>
        </w:rPr>
        <w:t>. It stresses the necessity to strengthen, at the national level, the role of Parliaments and internal jurisdictions in the monitoring of execution. Recommendation 2008(2) by the Committee of Ministers delimits a framework designed to improve</w:t>
      </w:r>
      <w:r w:rsidRPr="0008638D">
        <w:rPr>
          <w:rFonts w:ascii="Times New Roman" w:hAnsi="Times New Roman" w:cstheme="minorBidi"/>
          <w:sz w:val="24"/>
          <w:szCs w:val="24"/>
          <w:lang w:val="en-US"/>
        </w:rPr>
        <w:t xml:space="preserve"> </w:t>
      </w:r>
      <w:r w:rsidRPr="0008638D">
        <w:rPr>
          <w:rFonts w:ascii="Times New Roman" w:hAnsi="Times New Roman"/>
          <w:sz w:val="24"/>
          <w:szCs w:val="24"/>
          <w:lang w:val="en-US"/>
        </w:rPr>
        <w:t>Member States</w:t>
      </w:r>
      <w:r>
        <w:rPr>
          <w:rFonts w:ascii="Times New Roman" w:hAnsi="Times New Roman"/>
          <w:sz w:val="24"/>
          <w:szCs w:val="24"/>
          <w:lang w:val="en-US"/>
        </w:rPr>
        <w:t xml:space="preserve">’ involvement in the process of execution monitoring. Yet, this framework remains </w:t>
      </w:r>
      <w:r w:rsidRPr="0026578F">
        <w:rPr>
          <w:rFonts w:ascii="Times New Roman" w:hAnsi="Times New Roman"/>
          <w:sz w:val="24"/>
          <w:szCs w:val="24"/>
          <w:lang w:val="en-US"/>
        </w:rPr>
        <w:t>overly broad</w:t>
      </w:r>
      <w:r>
        <w:rPr>
          <w:rFonts w:ascii="Times New Roman" w:hAnsi="Times New Roman"/>
          <w:sz w:val="24"/>
          <w:szCs w:val="24"/>
          <w:lang w:val="en-US"/>
        </w:rPr>
        <w:t xml:space="preserve">. It requires some precision in order to achieve adequate institutionalization of execution monitoring. </w:t>
      </w:r>
    </w:p>
    <w:p w:rsidR="00D17F78" w:rsidRDefault="007204FF" w:rsidP="00D17F78">
      <w:pPr>
        <w:pStyle w:val="NormalWeb"/>
        <w:spacing w:after="0"/>
        <w:jc w:val="both"/>
        <w:rPr>
          <w:rFonts w:ascii="Times New Roman" w:hAnsi="Times New Roman"/>
          <w:sz w:val="24"/>
          <w:szCs w:val="24"/>
          <w:lang w:val="en-US"/>
        </w:rPr>
      </w:pPr>
      <w:r>
        <w:rPr>
          <w:rFonts w:ascii="Times New Roman" w:hAnsi="Times New Roman"/>
          <w:sz w:val="24"/>
          <w:szCs w:val="24"/>
          <w:lang w:val="en-US"/>
        </w:rPr>
        <w:t>23</w:t>
      </w:r>
      <w:r w:rsidR="00D17F78" w:rsidRPr="009531E2">
        <w:rPr>
          <w:rFonts w:ascii="Times New Roman" w:hAnsi="Times New Roman"/>
          <w:sz w:val="24"/>
          <w:szCs w:val="24"/>
          <w:lang w:val="en-US"/>
        </w:rPr>
        <w:t xml:space="preserve">. </w:t>
      </w:r>
      <w:r w:rsidR="00D17F78" w:rsidRPr="006D3239">
        <w:rPr>
          <w:rFonts w:ascii="Times New Roman" w:hAnsi="Times New Roman"/>
          <w:sz w:val="24"/>
          <w:szCs w:val="24"/>
          <w:lang w:val="en-US"/>
        </w:rPr>
        <w:t xml:space="preserve">Recommendation 2008(2) invite States to set up, at the national level, a specific authority in charge of circulating and monitoring the Court’s decisions. It </w:t>
      </w:r>
      <w:r w:rsidR="00D17F78" w:rsidRPr="001D7033">
        <w:rPr>
          <w:rFonts w:ascii="Times New Roman" w:hAnsi="Times New Roman"/>
          <w:sz w:val="24"/>
          <w:szCs w:val="24"/>
          <w:lang w:val="en-US"/>
        </w:rPr>
        <w:t>could</w:t>
      </w:r>
      <w:r w:rsidR="00D17F78" w:rsidRPr="00FA484B">
        <w:rPr>
          <w:rFonts w:ascii="Times New Roman" w:hAnsi="Times New Roman"/>
          <w:sz w:val="24"/>
          <w:szCs w:val="24"/>
          <w:lang w:val="en-US"/>
        </w:rPr>
        <w:t xml:space="preserve"> allow for some States to meet the Brighton Declaration objective, provided that this authority is bestowed genuine competence in relation to implementation, monitoring and guidance on national administrations, </w:t>
      </w:r>
      <w:r w:rsidR="00D17F78" w:rsidRPr="001D7033">
        <w:rPr>
          <w:rFonts w:ascii="Times New Roman" w:hAnsi="Times New Roman"/>
          <w:sz w:val="24"/>
          <w:szCs w:val="24"/>
          <w:lang w:val="en-US"/>
        </w:rPr>
        <w:t>in close collaboration with</w:t>
      </w:r>
      <w:r w:rsidR="00D17F78" w:rsidRPr="00FA484B">
        <w:rPr>
          <w:rFonts w:ascii="Times New Roman" w:hAnsi="Times New Roman"/>
          <w:sz w:val="24"/>
          <w:szCs w:val="24"/>
          <w:lang w:val="en-US"/>
        </w:rPr>
        <w:t xml:space="preserve"> Parliaments. This authority would</w:t>
      </w:r>
      <w:r w:rsidR="00D17F78" w:rsidRPr="006D3239">
        <w:rPr>
          <w:rFonts w:ascii="Times New Roman" w:hAnsi="Times New Roman"/>
          <w:sz w:val="24"/>
          <w:szCs w:val="24"/>
          <w:lang w:val="en-US"/>
        </w:rPr>
        <w:t xml:space="preserve"> need to have the obligation to ac</w:t>
      </w:r>
      <w:r w:rsidR="00D17F78">
        <w:rPr>
          <w:rFonts w:ascii="Times New Roman" w:hAnsi="Times New Roman"/>
          <w:sz w:val="24"/>
          <w:szCs w:val="24"/>
          <w:lang w:val="en-US"/>
        </w:rPr>
        <w:t>count for its activities. The f</w:t>
      </w:r>
      <w:r w:rsidR="00D17F78" w:rsidRPr="007067C1">
        <w:rPr>
          <w:rFonts w:ascii="Times New Roman" w:hAnsi="Times New Roman"/>
          <w:sz w:val="24"/>
          <w:szCs w:val="24"/>
          <w:lang w:val="en-US"/>
        </w:rPr>
        <w:t>ailure to implement the Court’s judgments often stem</w:t>
      </w:r>
      <w:r w:rsidR="00D17F78">
        <w:rPr>
          <w:rFonts w:ascii="Times New Roman" w:hAnsi="Times New Roman"/>
          <w:sz w:val="24"/>
          <w:szCs w:val="24"/>
          <w:lang w:val="en-US"/>
        </w:rPr>
        <w:t>s</w:t>
      </w:r>
      <w:r w:rsidR="00D17F78" w:rsidRPr="007067C1">
        <w:rPr>
          <w:rFonts w:ascii="Times New Roman" w:hAnsi="Times New Roman"/>
          <w:sz w:val="24"/>
          <w:szCs w:val="24"/>
          <w:lang w:val="en-US"/>
        </w:rPr>
        <w:t xml:space="preserve"> from</w:t>
      </w:r>
      <w:r w:rsidR="00D17F78">
        <w:rPr>
          <w:rFonts w:ascii="Times New Roman" w:hAnsi="Times New Roman"/>
          <w:sz w:val="24"/>
          <w:szCs w:val="24"/>
          <w:lang w:val="en-US"/>
        </w:rPr>
        <w:t xml:space="preserve"> </w:t>
      </w:r>
      <w:r w:rsidR="00D17F78" w:rsidRPr="007067C1">
        <w:rPr>
          <w:rFonts w:ascii="Times New Roman" w:hAnsi="Times New Roman"/>
          <w:sz w:val="24"/>
          <w:szCs w:val="24"/>
          <w:lang w:val="en-US"/>
        </w:rPr>
        <w:t>lack of k</w:t>
      </w:r>
      <w:r w:rsidR="00D17F78">
        <w:rPr>
          <w:rFonts w:ascii="Times New Roman" w:hAnsi="Times New Roman"/>
          <w:sz w:val="24"/>
          <w:szCs w:val="24"/>
          <w:lang w:val="en-US"/>
        </w:rPr>
        <w:t>nowledge on the part of the relevant bodies</w:t>
      </w:r>
      <w:r w:rsidR="00D17F78" w:rsidRPr="007067C1">
        <w:rPr>
          <w:rFonts w:ascii="Times New Roman" w:hAnsi="Times New Roman"/>
          <w:sz w:val="24"/>
          <w:szCs w:val="24"/>
          <w:lang w:val="en-US"/>
        </w:rPr>
        <w:t xml:space="preserve"> and</w:t>
      </w:r>
      <w:r w:rsidR="00D17F78">
        <w:rPr>
          <w:rFonts w:ascii="Times New Roman" w:hAnsi="Times New Roman"/>
          <w:sz w:val="24"/>
          <w:szCs w:val="24"/>
          <w:lang w:val="en-US"/>
        </w:rPr>
        <w:t xml:space="preserve"> from the</w:t>
      </w:r>
      <w:r w:rsidR="00D17F78" w:rsidRPr="007067C1">
        <w:rPr>
          <w:rFonts w:ascii="Times New Roman" w:hAnsi="Times New Roman"/>
          <w:sz w:val="24"/>
          <w:szCs w:val="24"/>
          <w:lang w:val="en-US"/>
        </w:rPr>
        <w:t xml:space="preserve"> </w:t>
      </w:r>
      <w:r w:rsidR="00D17F78">
        <w:rPr>
          <w:rFonts w:ascii="Times New Roman" w:hAnsi="Times New Roman"/>
          <w:sz w:val="24"/>
          <w:szCs w:val="24"/>
          <w:lang w:val="en-US"/>
        </w:rPr>
        <w:t xml:space="preserve">disparate and unregulated nature of the monitoring of the execution by the competent authorities. Nonetheless – and this needs to be stressed beyond the complexities of the technical aspects – the execution of judgments, and more broadly compliance with the Convention, </w:t>
      </w:r>
      <w:r w:rsidR="00D17F78" w:rsidRPr="00FF45F3">
        <w:rPr>
          <w:rFonts w:ascii="Times New Roman" w:hAnsi="Times New Roman"/>
          <w:sz w:val="24"/>
          <w:szCs w:val="24"/>
          <w:lang w:val="en-US"/>
        </w:rPr>
        <w:t xml:space="preserve">first and foremost </w:t>
      </w:r>
      <w:r w:rsidR="00D17F78">
        <w:rPr>
          <w:rFonts w:ascii="Times New Roman" w:hAnsi="Times New Roman"/>
          <w:sz w:val="24"/>
          <w:szCs w:val="24"/>
          <w:lang w:val="en-US"/>
        </w:rPr>
        <w:t xml:space="preserve">requires a drastic change in the mindset of concerned administrations. </w:t>
      </w:r>
    </w:p>
    <w:p w:rsidR="00D17F78" w:rsidRPr="00BC21B6" w:rsidRDefault="007204FF" w:rsidP="00D17F78">
      <w:pPr>
        <w:pStyle w:val="NormalWeb"/>
        <w:spacing w:after="0"/>
        <w:jc w:val="both"/>
        <w:rPr>
          <w:rFonts w:ascii="Times New Roman" w:hAnsi="Times New Roman"/>
          <w:sz w:val="24"/>
          <w:szCs w:val="24"/>
          <w:lang w:val="en-US"/>
        </w:rPr>
      </w:pPr>
      <w:r>
        <w:rPr>
          <w:rFonts w:ascii="Times New Roman" w:hAnsi="Times New Roman"/>
          <w:sz w:val="24"/>
          <w:szCs w:val="24"/>
          <w:lang w:val="en-US"/>
        </w:rPr>
        <w:t>24</w:t>
      </w:r>
      <w:r w:rsidR="00D17F78" w:rsidRPr="001A35AD">
        <w:rPr>
          <w:rFonts w:ascii="Times New Roman" w:hAnsi="Times New Roman"/>
          <w:sz w:val="24"/>
          <w:szCs w:val="24"/>
          <w:lang w:val="en-US"/>
        </w:rPr>
        <w:t>. Thus, in addition to a strictly technical</w:t>
      </w:r>
      <w:r w:rsidR="00D17F78">
        <w:rPr>
          <w:rFonts w:ascii="Times New Roman" w:hAnsi="Times New Roman"/>
          <w:sz w:val="24"/>
          <w:szCs w:val="24"/>
          <w:lang w:val="en-US"/>
        </w:rPr>
        <w:t>,</w:t>
      </w:r>
      <w:r w:rsidR="00D17F78" w:rsidRPr="001A35AD">
        <w:rPr>
          <w:rFonts w:ascii="Times New Roman" w:hAnsi="Times New Roman"/>
          <w:sz w:val="24"/>
          <w:szCs w:val="24"/>
          <w:lang w:val="en-US"/>
        </w:rPr>
        <w:t xml:space="preserve"> legal approach, professional cultures</w:t>
      </w:r>
      <w:r w:rsidR="00D17F78">
        <w:rPr>
          <w:rFonts w:ascii="Times New Roman" w:hAnsi="Times New Roman"/>
          <w:sz w:val="24"/>
          <w:szCs w:val="24"/>
          <w:lang w:val="en-US"/>
        </w:rPr>
        <w:t xml:space="preserve"> and social representations of the role of the Convention need to evolve. As such, success is dependent on many factors related to the political situation in member States, their respective administrative tradition, etc. A most positive outcome of the Brussels Declaration would be to invite member States to promptly organise, </w:t>
      </w:r>
      <w:r w:rsidR="00D17F78" w:rsidRPr="000E677E">
        <w:rPr>
          <w:rFonts w:ascii="Times New Roman" w:hAnsi="Times New Roman"/>
          <w:sz w:val="24"/>
          <w:szCs w:val="24"/>
          <w:lang w:val="en-US"/>
        </w:rPr>
        <w:t>under the auspices of</w:t>
      </w:r>
      <w:r w:rsidR="00D17F78">
        <w:rPr>
          <w:rFonts w:ascii="Times New Roman" w:hAnsi="Times New Roman"/>
          <w:sz w:val="24"/>
          <w:szCs w:val="24"/>
          <w:lang w:val="en-US"/>
        </w:rPr>
        <w:t xml:space="preserve"> their respective </w:t>
      </w:r>
      <w:r w:rsidR="00D17F78" w:rsidRPr="00F53E8F">
        <w:rPr>
          <w:rFonts w:ascii="Times New Roman" w:hAnsi="Times New Roman"/>
          <w:bCs/>
          <w:sz w:val="24"/>
          <w:szCs w:val="24"/>
          <w:lang w:val="en-US"/>
        </w:rPr>
        <w:t>NHRI</w:t>
      </w:r>
      <w:r w:rsidR="00D17F78">
        <w:rPr>
          <w:rFonts w:ascii="Times New Roman" w:hAnsi="Times New Roman"/>
          <w:bCs/>
          <w:sz w:val="24"/>
          <w:szCs w:val="24"/>
          <w:lang w:val="en-US"/>
        </w:rPr>
        <w:t>, a General Conference on national-</w:t>
      </w:r>
      <w:r w:rsidR="00D17F78" w:rsidRPr="00F53E8F">
        <w:rPr>
          <w:rFonts w:ascii="Times New Roman" w:hAnsi="Times New Roman"/>
          <w:bCs/>
          <w:sz w:val="24"/>
          <w:szCs w:val="24"/>
          <w:lang w:val="en-US"/>
        </w:rPr>
        <w:t xml:space="preserve">level </w:t>
      </w:r>
      <w:r w:rsidR="00D17F78">
        <w:rPr>
          <w:rFonts w:ascii="Times New Roman" w:hAnsi="Times New Roman"/>
          <w:bCs/>
          <w:sz w:val="24"/>
          <w:szCs w:val="24"/>
          <w:lang w:val="en-US"/>
        </w:rPr>
        <w:t>implementation of the Convention. Such a conference would allow for the identification of</w:t>
      </w:r>
      <w:r w:rsidR="00D17F78" w:rsidRPr="00F04BFF">
        <w:rPr>
          <w:rFonts w:ascii="Times New Roman" w:hAnsi="Times New Roman"/>
          <w:bCs/>
          <w:sz w:val="24"/>
          <w:szCs w:val="24"/>
          <w:lang w:val="en-US"/>
        </w:rPr>
        <w:t xml:space="preserve"> avenues</w:t>
      </w:r>
      <w:r w:rsidR="00D17F78">
        <w:rPr>
          <w:rFonts w:ascii="Times New Roman" w:hAnsi="Times New Roman"/>
          <w:bCs/>
          <w:sz w:val="24"/>
          <w:szCs w:val="24"/>
          <w:lang w:val="en-US"/>
        </w:rPr>
        <w:t xml:space="preserve"> for the definition of an organisation and a methodology for effective monitoring of the Court’s judgments. Moreover, feed-back from this General Conference would provide material for rewriting Recommendation 2008(2). Admittedly, time is scarce. Member States must take immediate measures to remedy </w:t>
      </w:r>
      <w:r w:rsidR="00D17F78" w:rsidRPr="003E0121">
        <w:rPr>
          <w:rFonts w:ascii="Times New Roman" w:hAnsi="Times New Roman"/>
          <w:bCs/>
          <w:sz w:val="24"/>
          <w:szCs w:val="24"/>
          <w:lang w:val="en-US"/>
        </w:rPr>
        <w:t>dysfunctional situations</w:t>
      </w:r>
      <w:r w:rsidR="00D17F78">
        <w:rPr>
          <w:rFonts w:ascii="Times New Roman" w:hAnsi="Times New Roman"/>
          <w:bCs/>
          <w:sz w:val="24"/>
          <w:szCs w:val="24"/>
          <w:lang w:val="en-US"/>
        </w:rPr>
        <w:t xml:space="preserve"> identified by the Court. Nonetheless, if the Interlaken Process has induced and accompanied significant evolution in the functioning of the Court, it has shown the limits of </w:t>
      </w:r>
      <w:r w:rsidR="00D17F78" w:rsidRPr="00F2074D">
        <w:rPr>
          <w:rFonts w:ascii="Times New Roman" w:hAnsi="Times New Roman"/>
          <w:bCs/>
          <w:sz w:val="24"/>
          <w:szCs w:val="24"/>
          <w:lang w:val="en-US"/>
        </w:rPr>
        <w:t>an</w:t>
      </w:r>
      <w:r w:rsidR="00D17F78">
        <w:rPr>
          <w:rFonts w:ascii="Times New Roman" w:hAnsi="Times New Roman"/>
          <w:bCs/>
          <w:sz w:val="24"/>
          <w:szCs w:val="24"/>
          <w:lang w:val="en-US"/>
        </w:rPr>
        <w:t xml:space="preserve"> essentially technical approach initiated </w:t>
      </w:r>
      <w:r w:rsidR="00D17F78" w:rsidRPr="00DD1044">
        <w:rPr>
          <w:rFonts w:ascii="Times New Roman" w:hAnsi="Times New Roman"/>
          <w:bCs/>
          <w:sz w:val="24"/>
          <w:szCs w:val="24"/>
          <w:lang w:val="en-US"/>
        </w:rPr>
        <w:t xml:space="preserve">at </w:t>
      </w:r>
      <w:r w:rsidR="00D17F78" w:rsidRPr="00DD1044">
        <w:rPr>
          <w:rFonts w:ascii="Times New Roman" w:hAnsi="Times New Roman"/>
          <w:bCs/>
          <w:sz w:val="24"/>
          <w:szCs w:val="24"/>
          <w:lang w:val="en-US"/>
        </w:rPr>
        <w:lastRenderedPageBreak/>
        <w:t>the intergovernmental level.</w:t>
      </w:r>
      <w:r w:rsidR="00D17F78">
        <w:rPr>
          <w:rFonts w:ascii="Times New Roman" w:hAnsi="Times New Roman"/>
          <w:bCs/>
          <w:sz w:val="24"/>
          <w:szCs w:val="24"/>
          <w:lang w:val="en-US"/>
        </w:rPr>
        <w:t xml:space="preserve"> Member States must create the conditions to create a deeper dynamic of compliance with the objectives of the Convention. </w:t>
      </w:r>
    </w:p>
    <w:p w:rsidR="00635EEC" w:rsidRPr="007204FF" w:rsidRDefault="00635EEC">
      <w:pPr>
        <w:rPr>
          <w:lang w:val="en-US"/>
        </w:rPr>
      </w:pPr>
    </w:p>
    <w:sectPr w:rsidR="00635EEC" w:rsidRPr="007204FF" w:rsidSect="00635EE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64" w:rsidRDefault="00D43C64" w:rsidP="00D17F78">
      <w:r>
        <w:separator/>
      </w:r>
    </w:p>
  </w:endnote>
  <w:endnote w:type="continuationSeparator" w:id="0">
    <w:p w:rsidR="00D43C64" w:rsidRDefault="00D43C64" w:rsidP="00D1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64" w:rsidRDefault="00D43C64" w:rsidP="00D17F78">
      <w:r>
        <w:separator/>
      </w:r>
    </w:p>
  </w:footnote>
  <w:footnote w:type="continuationSeparator" w:id="0">
    <w:p w:rsidR="00D43C64" w:rsidRDefault="00D43C64" w:rsidP="00D17F78">
      <w:r>
        <w:continuationSeparator/>
      </w:r>
    </w:p>
  </w:footnote>
  <w:footnote w:id="1">
    <w:p w:rsidR="00D17F78" w:rsidRPr="00B14DCB" w:rsidRDefault="00D17F78" w:rsidP="00D17F78">
      <w:pPr>
        <w:pStyle w:val="Textodenotaderodap"/>
        <w:rPr>
          <w:rFonts w:ascii="Times New Roman" w:hAnsi="Times New Roman" w:cs="Times New Roman"/>
          <w:sz w:val="20"/>
          <w:szCs w:val="20"/>
          <w:lang w:val="en-US"/>
        </w:rPr>
      </w:pPr>
      <w:r w:rsidRPr="00975BEC">
        <w:rPr>
          <w:rStyle w:val="Refdenotaderodap"/>
          <w:rFonts w:ascii="Times New Roman" w:hAnsi="Times New Roman" w:cs="Times New Roman"/>
          <w:sz w:val="20"/>
          <w:szCs w:val="20"/>
        </w:rPr>
        <w:footnoteRef/>
      </w:r>
      <w:r w:rsidRPr="00B14DCB">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w:t>
      </w:r>
      <w:r w:rsidRPr="00B14DCB">
        <w:rPr>
          <w:rFonts w:ascii="Times New Roman" w:hAnsi="Times New Roman" w:cs="Times New Roman"/>
          <w:sz w:val="20"/>
          <w:szCs w:val="20"/>
          <w:lang w:val="en-US"/>
        </w:rPr>
        <w:t>ithin the frame of the Interlaken Process.</w:t>
      </w:r>
      <w:proofErr w:type="gramEnd"/>
      <w:r w:rsidRPr="00B14DC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See the contribution of the </w:t>
      </w:r>
      <w:r w:rsidRPr="00B14DCB">
        <w:rPr>
          <w:rFonts w:ascii="Times New Roman" w:hAnsi="Times New Roman" w:cs="Times New Roman"/>
          <w:sz w:val="20"/>
          <w:szCs w:val="20"/>
          <w:lang w:val="en-US"/>
        </w:rPr>
        <w:t>CDDH to the C</w:t>
      </w:r>
      <w:r>
        <w:rPr>
          <w:rFonts w:ascii="Times New Roman" w:hAnsi="Times New Roman" w:cs="Times New Roman"/>
          <w:sz w:val="20"/>
          <w:szCs w:val="20"/>
          <w:lang w:val="en-US"/>
        </w:rPr>
        <w:t>onfe</w:t>
      </w:r>
      <w:r w:rsidRPr="00B14DCB">
        <w:rPr>
          <w:rFonts w:ascii="Times New Roman" w:hAnsi="Times New Roman" w:cs="Times New Roman"/>
          <w:sz w:val="20"/>
          <w:szCs w:val="20"/>
          <w:lang w:val="en-US"/>
        </w:rPr>
        <w:t xml:space="preserve">rence, </w:t>
      </w:r>
      <w:proofErr w:type="gramStart"/>
      <w:r w:rsidRPr="00B14DCB">
        <w:rPr>
          <w:rFonts w:ascii="Times New Roman" w:hAnsi="Times New Roman" w:cs="Times New Roman"/>
          <w:sz w:val="20"/>
          <w:szCs w:val="20"/>
          <w:lang w:val="en-US"/>
        </w:rPr>
        <w:t>CDDH(</w:t>
      </w:r>
      <w:proofErr w:type="gramEnd"/>
      <w:r w:rsidRPr="00B14DCB">
        <w:rPr>
          <w:rFonts w:ascii="Times New Roman" w:hAnsi="Times New Roman" w:cs="Times New Roman"/>
          <w:sz w:val="20"/>
          <w:szCs w:val="20"/>
          <w:lang w:val="en-US"/>
        </w:rPr>
        <w:t>2014)R82 Addendum II</w:t>
      </w:r>
      <w:r>
        <w:rPr>
          <w:rFonts w:ascii="Times New Roman" w:hAnsi="Times New Roman" w:cs="Times New Roman"/>
          <w:sz w:val="20"/>
          <w:szCs w:val="20"/>
          <w:lang w:val="en-US"/>
        </w:rPr>
        <w:t>.</w:t>
      </w:r>
    </w:p>
  </w:footnote>
  <w:footnote w:id="2">
    <w:p w:rsidR="00D17F78" w:rsidRPr="00487D23" w:rsidRDefault="00D17F78" w:rsidP="00D17F78">
      <w:pPr>
        <w:pStyle w:val="NormalWeb"/>
        <w:pageBreakBefore/>
        <w:spacing w:before="0" w:beforeAutospacing="0" w:after="0"/>
        <w:jc w:val="both"/>
        <w:rPr>
          <w:rFonts w:ascii="Times New Roman" w:hAnsi="Times New Roman"/>
          <w:lang w:val="en-US"/>
        </w:rPr>
      </w:pPr>
      <w:r w:rsidRPr="00975BEC">
        <w:rPr>
          <w:rStyle w:val="Refdenotaderodap"/>
          <w:rFonts w:ascii="Times New Roman" w:hAnsi="Times New Roman"/>
        </w:rPr>
        <w:footnoteRef/>
      </w:r>
      <w:r w:rsidRPr="00487D23">
        <w:rPr>
          <w:rFonts w:ascii="Times New Roman" w:hAnsi="Times New Roman"/>
          <w:lang w:val="en-US"/>
        </w:rPr>
        <w:t xml:space="preserve"> See the Answer of the Court to the «</w:t>
      </w:r>
      <w:r w:rsidRPr="002C4BC4">
        <w:rPr>
          <w:rFonts w:ascii="Times New Roman" w:hAnsi="Times New Roman"/>
          <w:i/>
          <w:lang w:val="en-US"/>
        </w:rPr>
        <w:t>Response of the Court to the “CDDH report containing conclusions and possible proposals for action on ways to resolve the large numbers of applications arising from systemic issues identified by the Court”</w:t>
      </w:r>
      <w:r w:rsidRPr="00487D23">
        <w:rPr>
          <w:rFonts w:ascii="Times New Roman" w:hAnsi="Times New Roman"/>
          <w:lang w:val="en-US"/>
        </w:rPr>
        <w:t>», 20 October 2014.</w:t>
      </w:r>
    </w:p>
    <w:p w:rsidR="00D17F78" w:rsidRPr="00487D23" w:rsidRDefault="00D17F78" w:rsidP="00D17F78">
      <w:pPr>
        <w:pStyle w:val="NormalWeb"/>
        <w:pageBreakBefore/>
        <w:spacing w:before="0" w:beforeAutospacing="0" w:after="0"/>
        <w:jc w:val="both"/>
        <w:rPr>
          <w:rFonts w:ascii="Times New Roman" w:hAnsi="Times New Roman"/>
          <w:lang w:val="en-US"/>
        </w:rPr>
      </w:pPr>
    </w:p>
  </w:footnote>
  <w:footnote w:id="3">
    <w:p w:rsidR="00D17F78" w:rsidRPr="000976B2" w:rsidRDefault="00D17F78" w:rsidP="00D17F78">
      <w:pPr>
        <w:pStyle w:val="NormalWeb"/>
        <w:pageBreakBefore/>
        <w:spacing w:before="0" w:beforeAutospacing="0" w:after="0"/>
        <w:jc w:val="both"/>
        <w:rPr>
          <w:rFonts w:ascii="Times New Roman" w:hAnsi="Times New Roman"/>
          <w:lang w:val="en-US"/>
        </w:rPr>
      </w:pPr>
      <w:r w:rsidRPr="00975BEC">
        <w:rPr>
          <w:rStyle w:val="Refdenotaderodap"/>
          <w:rFonts w:ascii="Times New Roman" w:hAnsi="Times New Roman"/>
        </w:rPr>
        <w:footnoteRef/>
      </w:r>
      <w:r w:rsidRPr="000976B2">
        <w:rPr>
          <w:rFonts w:ascii="Times New Roman" w:hAnsi="Times New Roman"/>
          <w:lang w:val="en-US"/>
        </w:rPr>
        <w:t>See the 5</w:t>
      </w:r>
      <w:r w:rsidRPr="000976B2">
        <w:rPr>
          <w:rFonts w:ascii="Times New Roman" w:hAnsi="Times New Roman"/>
          <w:vertAlign w:val="superscript"/>
          <w:lang w:val="en-US"/>
        </w:rPr>
        <w:t>th</w:t>
      </w:r>
      <w:r>
        <w:rPr>
          <w:rFonts w:ascii="Times New Roman" w:hAnsi="Times New Roman"/>
          <w:lang w:val="en-US"/>
        </w:rPr>
        <w:t xml:space="preserve"> </w:t>
      </w:r>
      <w:r w:rsidRPr="000976B2">
        <w:rPr>
          <w:rFonts w:ascii="Times New Roman" w:hAnsi="Times New Roman"/>
          <w:lang w:val="en-US"/>
        </w:rPr>
        <w:t>and 6</w:t>
      </w:r>
      <w:r w:rsidRPr="000976B2">
        <w:rPr>
          <w:rFonts w:ascii="Times New Roman" w:hAnsi="Times New Roman"/>
          <w:vertAlign w:val="superscript"/>
          <w:lang w:val="en-US"/>
        </w:rPr>
        <w:t>th</w:t>
      </w:r>
      <w:r>
        <w:rPr>
          <w:rFonts w:ascii="Times New Roman" w:hAnsi="Times New Roman"/>
          <w:lang w:val="en-US"/>
        </w:rPr>
        <w:t xml:space="preserve"> </w:t>
      </w:r>
      <w:r w:rsidRPr="000976B2">
        <w:rPr>
          <w:rFonts w:ascii="Times New Roman" w:hAnsi="Times New Roman"/>
          <w:lang w:val="en-US"/>
        </w:rPr>
        <w:t>annual reports of the Committee of Ministries on the execution of the Court´s decisions.</w:t>
      </w:r>
    </w:p>
  </w:footnote>
  <w:footnote w:id="4">
    <w:p w:rsidR="00D17F78" w:rsidRPr="00487D23" w:rsidRDefault="00D17F78" w:rsidP="00D17F78">
      <w:pPr>
        <w:pStyle w:val="Textodenotaderodap"/>
        <w:rPr>
          <w:sz w:val="20"/>
          <w:szCs w:val="20"/>
          <w:lang w:val="en-US"/>
        </w:rPr>
      </w:pPr>
      <w:r>
        <w:rPr>
          <w:rStyle w:val="Refdenotaderodap"/>
        </w:rPr>
        <w:footnoteRef/>
      </w:r>
      <w:r w:rsidRPr="00487D23">
        <w:rPr>
          <w:lang w:val="en-US"/>
        </w:rPr>
        <w:t xml:space="preserve"> </w:t>
      </w:r>
      <w:r w:rsidRPr="00487D23">
        <w:rPr>
          <w:i/>
          <w:sz w:val="20"/>
          <w:szCs w:val="20"/>
          <w:lang w:val="en-US"/>
        </w:rPr>
        <w:t>6. The effectiveness of the European Convention on Human Rights: the Brighton declaration and beyond</w:t>
      </w:r>
      <w:r w:rsidRPr="00487D23">
        <w:rPr>
          <w:sz w:val="20"/>
          <w:szCs w:val="20"/>
          <w:lang w:val="en-US"/>
        </w:rPr>
        <w:t xml:space="preserve">, Report of </w:t>
      </w:r>
      <w:proofErr w:type="spellStart"/>
      <w:r w:rsidRPr="00487D23">
        <w:rPr>
          <w:sz w:val="20"/>
          <w:szCs w:val="20"/>
          <w:lang w:val="en-US"/>
        </w:rPr>
        <w:t>Mr</w:t>
      </w:r>
      <w:proofErr w:type="spellEnd"/>
      <w:r w:rsidRPr="00487D23">
        <w:rPr>
          <w:sz w:val="20"/>
          <w:szCs w:val="20"/>
          <w:lang w:val="en-US"/>
        </w:rPr>
        <w:t xml:space="preserve"> </w:t>
      </w:r>
      <w:proofErr w:type="spellStart"/>
      <w:r w:rsidRPr="00487D23">
        <w:rPr>
          <w:sz w:val="20"/>
          <w:szCs w:val="20"/>
          <w:lang w:val="en-US"/>
        </w:rPr>
        <w:t>Pozzo</w:t>
      </w:r>
      <w:proofErr w:type="spellEnd"/>
      <w:r w:rsidRPr="00487D23">
        <w:rPr>
          <w:sz w:val="20"/>
          <w:szCs w:val="20"/>
          <w:lang w:val="en-US"/>
        </w:rPr>
        <w:t xml:space="preserve"> di </w:t>
      </w:r>
      <w:proofErr w:type="spellStart"/>
      <w:r w:rsidRPr="00487D23">
        <w:rPr>
          <w:sz w:val="20"/>
          <w:szCs w:val="20"/>
          <w:lang w:val="en-US"/>
        </w:rPr>
        <w:t>Borgo</w:t>
      </w:r>
      <w:proofErr w:type="spellEnd"/>
      <w:r w:rsidRPr="00487D23">
        <w:rPr>
          <w:sz w:val="20"/>
          <w:szCs w:val="20"/>
          <w:lang w:val="en-US"/>
        </w:rPr>
        <w:t>, adopted by the Committee on Legal Affairs and Human Rights the 10 of December 2014, AS/</w:t>
      </w:r>
      <w:proofErr w:type="spellStart"/>
      <w:r w:rsidRPr="00487D23">
        <w:rPr>
          <w:sz w:val="20"/>
          <w:szCs w:val="20"/>
          <w:lang w:val="en-US"/>
        </w:rPr>
        <w:t>Jur</w:t>
      </w:r>
      <w:proofErr w:type="spellEnd"/>
      <w:r w:rsidRPr="00487D23">
        <w:rPr>
          <w:sz w:val="20"/>
          <w:szCs w:val="20"/>
          <w:lang w:val="en-US"/>
        </w:rPr>
        <w:t>(2014)33.</w:t>
      </w:r>
    </w:p>
  </w:footnote>
  <w:footnote w:id="5">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Contained in the document of the Drafting group "F" on the Reform of the Court (GT-GDR-F) </w:t>
      </w:r>
      <w:r w:rsidRPr="00487D23">
        <w:rPr>
          <w:i/>
          <w:iCs/>
          <w:sz w:val="20"/>
          <w:szCs w:val="20"/>
          <w:lang w:val="en-US"/>
        </w:rPr>
        <w:t>Proposals made in the context of Council of Europe work and relating to possible alternative models for the Convention control mechanism</w:t>
      </w:r>
      <w:r w:rsidRPr="00487D23">
        <w:rPr>
          <w:sz w:val="20"/>
          <w:szCs w:val="20"/>
          <w:lang w:val="en-US"/>
        </w:rPr>
        <w:t>, 3 December 2014, GT-GDR-F(2014)026</w:t>
      </w:r>
    </w:p>
  </w:footnote>
  <w:footnote w:id="6">
    <w:p w:rsidR="00D17F78" w:rsidRPr="00487D23" w:rsidRDefault="00D17F78" w:rsidP="00D17F78">
      <w:pPr>
        <w:pStyle w:val="Textodenotaderodap"/>
        <w:rPr>
          <w:lang w:val="en-US"/>
        </w:rPr>
      </w:pPr>
      <w:r>
        <w:rPr>
          <w:rStyle w:val="Refdenotaderodap"/>
        </w:rPr>
        <w:footnoteRef/>
      </w:r>
      <w:r w:rsidRPr="00487D23">
        <w:rPr>
          <w:lang w:val="en-US"/>
        </w:rPr>
        <w:t xml:space="preserve"> </w:t>
      </w:r>
      <w:r w:rsidRPr="00487D23">
        <w:rPr>
          <w:sz w:val="20"/>
          <w:szCs w:val="20"/>
          <w:lang w:val="en-US"/>
        </w:rPr>
        <w:t>Presentation by the Registrar of the European Court of Human Rights,  GT-GDR-F(2014)021</w:t>
      </w:r>
    </w:p>
  </w:footnote>
  <w:footnote w:id="7">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Consider</w:t>
      </w:r>
      <w:r>
        <w:rPr>
          <w:sz w:val="20"/>
          <w:szCs w:val="20"/>
          <w:lang w:val="en-US"/>
        </w:rPr>
        <w:t>ed</w:t>
      </w:r>
      <w:r w:rsidRPr="00487D23">
        <w:rPr>
          <w:sz w:val="20"/>
          <w:szCs w:val="20"/>
          <w:lang w:val="en-US"/>
        </w:rPr>
        <w:t xml:space="preserve"> by the working group "F", see document of 19 May 2014, GT-GDR-</w:t>
      </w:r>
      <w:proofErr w:type="gramStart"/>
      <w:r w:rsidRPr="00487D23">
        <w:rPr>
          <w:sz w:val="20"/>
          <w:szCs w:val="20"/>
          <w:lang w:val="en-US"/>
        </w:rPr>
        <w:t>F(</w:t>
      </w:r>
      <w:proofErr w:type="gramEnd"/>
      <w:r w:rsidRPr="00487D23">
        <w:rPr>
          <w:sz w:val="20"/>
          <w:szCs w:val="20"/>
          <w:lang w:val="en-US"/>
        </w:rPr>
        <w:t>2014)misc.</w:t>
      </w:r>
    </w:p>
  </w:footnote>
  <w:footnote w:id="8">
    <w:p w:rsidR="00D17F78" w:rsidRDefault="00D17F78" w:rsidP="00D17F78">
      <w:pPr>
        <w:pStyle w:val="Textodenotaderodap"/>
      </w:pPr>
      <w:r>
        <w:rPr>
          <w:rStyle w:val="Refdenotaderodap"/>
        </w:rPr>
        <w:footnoteRef/>
      </w:r>
      <w:r>
        <w:t xml:space="preserve"> </w:t>
      </w:r>
      <w:r>
        <w:rPr>
          <w:sz w:val="20"/>
          <w:szCs w:val="20"/>
        </w:rPr>
        <w:t xml:space="preserve">D. </w:t>
      </w:r>
      <w:proofErr w:type="spellStart"/>
      <w:r>
        <w:rPr>
          <w:sz w:val="20"/>
          <w:szCs w:val="20"/>
        </w:rPr>
        <w:t>Sp</w:t>
      </w:r>
      <w:r w:rsidRPr="00943EB9">
        <w:rPr>
          <w:sz w:val="20"/>
          <w:szCs w:val="20"/>
        </w:rPr>
        <w:t>ielmann</w:t>
      </w:r>
      <w:proofErr w:type="spellEnd"/>
      <w:r w:rsidRPr="00943EB9">
        <w:rPr>
          <w:sz w:val="20"/>
          <w:szCs w:val="20"/>
        </w:rPr>
        <w:t xml:space="preserve">, </w:t>
      </w:r>
      <w:r w:rsidRPr="00943EB9">
        <w:rPr>
          <w:i/>
          <w:sz w:val="20"/>
          <w:szCs w:val="20"/>
        </w:rPr>
        <w:t>Le succès et les défis posés à la Cour, perçus de l’intérieur</w:t>
      </w:r>
      <w:r>
        <w:rPr>
          <w:sz w:val="20"/>
          <w:szCs w:val="20"/>
        </w:rPr>
        <w:t xml:space="preserve">, speech, </w:t>
      </w:r>
      <w:proofErr w:type="spellStart"/>
      <w:r>
        <w:rPr>
          <w:sz w:val="20"/>
          <w:szCs w:val="20"/>
        </w:rPr>
        <w:t>Conference</w:t>
      </w:r>
      <w:proofErr w:type="spellEnd"/>
      <w:r>
        <w:rPr>
          <w:sz w:val="20"/>
          <w:szCs w:val="20"/>
        </w:rPr>
        <w:t xml:space="preserve"> in </w:t>
      </w:r>
      <w:r w:rsidRPr="00943EB9">
        <w:rPr>
          <w:sz w:val="20"/>
          <w:szCs w:val="20"/>
        </w:rPr>
        <w:t xml:space="preserve">Oslo, 7 </w:t>
      </w:r>
      <w:r>
        <w:rPr>
          <w:sz w:val="20"/>
          <w:szCs w:val="20"/>
        </w:rPr>
        <w:t>April</w:t>
      </w:r>
      <w:r w:rsidRPr="00943EB9">
        <w:rPr>
          <w:sz w:val="20"/>
          <w:szCs w:val="20"/>
        </w:rPr>
        <w:t xml:space="preserve"> 2014</w:t>
      </w:r>
      <w:r>
        <w:rPr>
          <w:sz w:val="20"/>
          <w:szCs w:val="20"/>
        </w:rPr>
        <w:t>.</w:t>
      </w:r>
    </w:p>
  </w:footnote>
  <w:footnote w:id="9">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see document GT-GDR-F(2014)021</w:t>
      </w:r>
    </w:p>
  </w:footnote>
  <w:footnote w:id="10">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ibid.</w:t>
      </w:r>
    </w:p>
  </w:footnote>
  <w:footnote w:id="11">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See Report of </w:t>
      </w:r>
      <w:proofErr w:type="spellStart"/>
      <w:r w:rsidRPr="00487D23">
        <w:rPr>
          <w:sz w:val="20"/>
          <w:szCs w:val="20"/>
          <w:lang w:val="en-US"/>
        </w:rPr>
        <w:t>Mr</w:t>
      </w:r>
      <w:proofErr w:type="spellEnd"/>
      <w:r w:rsidRPr="00487D23">
        <w:rPr>
          <w:sz w:val="20"/>
          <w:szCs w:val="20"/>
          <w:lang w:val="en-US"/>
        </w:rPr>
        <w:t xml:space="preserve"> </w:t>
      </w:r>
      <w:proofErr w:type="spellStart"/>
      <w:r w:rsidRPr="00487D23">
        <w:rPr>
          <w:sz w:val="20"/>
          <w:szCs w:val="20"/>
          <w:lang w:val="en-US"/>
        </w:rPr>
        <w:t>Pozzo</w:t>
      </w:r>
      <w:proofErr w:type="spellEnd"/>
      <w:r w:rsidRPr="00487D23">
        <w:rPr>
          <w:sz w:val="20"/>
          <w:szCs w:val="20"/>
          <w:lang w:val="en-US"/>
        </w:rPr>
        <w:t xml:space="preserve"> di </w:t>
      </w:r>
      <w:proofErr w:type="spellStart"/>
      <w:r w:rsidRPr="00487D23">
        <w:rPr>
          <w:sz w:val="20"/>
          <w:szCs w:val="20"/>
          <w:lang w:val="en-US"/>
        </w:rPr>
        <w:t>Borgo</w:t>
      </w:r>
      <w:proofErr w:type="spellEnd"/>
      <w:r w:rsidRPr="00487D23">
        <w:rPr>
          <w:sz w:val="20"/>
          <w:szCs w:val="20"/>
          <w:lang w:val="en-US"/>
        </w:rPr>
        <w:t xml:space="preserve">, prev., based on the Konstantin </w:t>
      </w:r>
      <w:proofErr w:type="spellStart"/>
      <w:r w:rsidRPr="00487D23">
        <w:rPr>
          <w:sz w:val="20"/>
          <w:szCs w:val="20"/>
          <w:lang w:val="en-US"/>
        </w:rPr>
        <w:t>Dzehtsiarou’s</w:t>
      </w:r>
      <w:proofErr w:type="spellEnd"/>
      <w:r w:rsidRPr="00487D23">
        <w:rPr>
          <w:sz w:val="20"/>
          <w:szCs w:val="20"/>
          <w:lang w:val="en-US"/>
        </w:rPr>
        <w:t xml:space="preserve"> response to the DH-GDR’s “open call for contributions”</w:t>
      </w:r>
    </w:p>
  </w:footnote>
  <w:footnote w:id="12">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See the Report of the Committee on Legal Affaires  AS/</w:t>
      </w:r>
      <w:proofErr w:type="spellStart"/>
      <w:r w:rsidRPr="00487D23">
        <w:rPr>
          <w:sz w:val="20"/>
          <w:szCs w:val="20"/>
          <w:lang w:val="en-US"/>
        </w:rPr>
        <w:t>Jur</w:t>
      </w:r>
      <w:proofErr w:type="spellEnd"/>
      <w:r w:rsidRPr="00487D23">
        <w:rPr>
          <w:sz w:val="20"/>
          <w:szCs w:val="20"/>
          <w:lang w:val="en-US"/>
        </w:rPr>
        <w:t>(2014)33, par.49</w:t>
      </w:r>
    </w:p>
  </w:footnote>
  <w:footnote w:id="13">
    <w:p w:rsidR="00D17F78" w:rsidRPr="004635D4" w:rsidRDefault="00D17F78" w:rsidP="00D17F78">
      <w:pPr>
        <w:pStyle w:val="Textodenotaderodap"/>
        <w:rPr>
          <w:sz w:val="20"/>
          <w:szCs w:val="20"/>
          <w:lang w:val="en-GB"/>
        </w:rPr>
      </w:pPr>
      <w:r w:rsidRPr="00731401">
        <w:rPr>
          <w:rStyle w:val="Refdenotaderodap"/>
          <w:sz w:val="20"/>
          <w:szCs w:val="20"/>
        </w:rPr>
        <w:footnoteRef/>
      </w:r>
      <w:r w:rsidRPr="004635D4">
        <w:rPr>
          <w:sz w:val="20"/>
          <w:szCs w:val="20"/>
          <w:lang w:val="en-GB"/>
        </w:rPr>
        <w:t xml:space="preserve">  The </w:t>
      </w:r>
      <w:r w:rsidRPr="00F71CB4">
        <w:rPr>
          <w:sz w:val="20"/>
          <w:szCs w:val="20"/>
          <w:lang w:val="en-GB"/>
        </w:rPr>
        <w:t xml:space="preserve">Department for the Execution of Judgments </w:t>
      </w:r>
      <w:r>
        <w:rPr>
          <w:sz w:val="20"/>
          <w:szCs w:val="20"/>
          <w:lang w:val="en-GB"/>
        </w:rPr>
        <w:t>had</w:t>
      </w:r>
      <w:r w:rsidRPr="004635D4">
        <w:rPr>
          <w:sz w:val="20"/>
          <w:szCs w:val="20"/>
          <w:lang w:val="en-GB"/>
        </w:rPr>
        <w:t xml:space="preserve"> before it 11, </w:t>
      </w:r>
      <w:r>
        <w:rPr>
          <w:sz w:val="20"/>
          <w:szCs w:val="20"/>
          <w:lang w:val="en-GB"/>
        </w:rPr>
        <w:t>594</w:t>
      </w:r>
      <w:r w:rsidRPr="004635D4">
        <w:rPr>
          <w:sz w:val="20"/>
          <w:szCs w:val="20"/>
          <w:lang w:val="en-GB"/>
        </w:rPr>
        <w:t xml:space="preserve"> pending </w:t>
      </w:r>
      <w:r>
        <w:rPr>
          <w:sz w:val="20"/>
          <w:szCs w:val="20"/>
          <w:lang w:val="en-GB"/>
        </w:rPr>
        <w:t>cases</w:t>
      </w:r>
      <w:r w:rsidRPr="004635D4">
        <w:rPr>
          <w:sz w:val="20"/>
          <w:szCs w:val="20"/>
          <w:lang w:val="en-GB"/>
        </w:rPr>
        <w:t xml:space="preserve">, handled by </w:t>
      </w:r>
      <w:r>
        <w:rPr>
          <w:sz w:val="20"/>
          <w:szCs w:val="20"/>
          <w:lang w:val="en-GB"/>
        </w:rPr>
        <w:t xml:space="preserve">33 staff at the 16 September 2014, see </w:t>
      </w:r>
      <w:r w:rsidRPr="004D2DDC">
        <w:rPr>
          <w:sz w:val="20"/>
          <w:szCs w:val="20"/>
          <w:lang w:val="en-GB"/>
        </w:rPr>
        <w:t>GT-GDR-F(2014)022</w:t>
      </w:r>
      <w:r>
        <w:rPr>
          <w:sz w:val="20"/>
          <w:szCs w:val="20"/>
          <w:lang w:val="en-GB"/>
        </w:rPr>
        <w:t xml:space="preserve"> </w:t>
      </w:r>
    </w:p>
  </w:footnote>
  <w:footnote w:id="14">
    <w:p w:rsidR="00D17F78" w:rsidRPr="00F2454D" w:rsidRDefault="00D17F78" w:rsidP="00D17F78">
      <w:pPr>
        <w:pStyle w:val="Textodenotaderodap"/>
        <w:rPr>
          <w:sz w:val="20"/>
          <w:szCs w:val="20"/>
          <w:lang w:val="en-GB"/>
        </w:rPr>
      </w:pPr>
      <w:r w:rsidRPr="00731401">
        <w:rPr>
          <w:rStyle w:val="Refdenotaderodap"/>
          <w:sz w:val="20"/>
          <w:szCs w:val="20"/>
        </w:rPr>
        <w:footnoteRef/>
      </w:r>
      <w:r w:rsidRPr="004635D4">
        <w:rPr>
          <w:sz w:val="20"/>
          <w:szCs w:val="20"/>
          <w:lang w:val="en-GB"/>
        </w:rPr>
        <w:t xml:space="preserve"> See in this regard, the proposal made by the Registrar of the Court that the </w:t>
      </w:r>
      <w:r w:rsidRPr="00F71CB4">
        <w:rPr>
          <w:sz w:val="20"/>
          <w:szCs w:val="20"/>
          <w:lang w:val="en-GB"/>
        </w:rPr>
        <w:t>Department for the Execution of Judgments</w:t>
      </w:r>
      <w:r w:rsidRPr="004635D4">
        <w:rPr>
          <w:sz w:val="20"/>
          <w:szCs w:val="20"/>
          <w:lang w:val="en-GB"/>
        </w:rPr>
        <w:t xml:space="preserve"> should be </w:t>
      </w:r>
      <w:r>
        <w:rPr>
          <w:sz w:val="20"/>
          <w:szCs w:val="20"/>
          <w:lang w:val="en-GB"/>
        </w:rPr>
        <w:t xml:space="preserve">converted into </w:t>
      </w:r>
      <w:r w:rsidRPr="00F2454D">
        <w:rPr>
          <w:sz w:val="20"/>
          <w:szCs w:val="20"/>
          <w:lang w:val="en-GB"/>
        </w:rPr>
        <w:t xml:space="preserve">a quasi-jurisdictional </w:t>
      </w:r>
      <w:r>
        <w:rPr>
          <w:sz w:val="20"/>
          <w:szCs w:val="20"/>
          <w:lang w:val="en-GB"/>
        </w:rPr>
        <w:t xml:space="preserve">body </w:t>
      </w:r>
      <w:r w:rsidRPr="00F2454D">
        <w:rPr>
          <w:sz w:val="20"/>
          <w:szCs w:val="20"/>
          <w:lang w:val="en-GB"/>
        </w:rPr>
        <w:t>(</w:t>
      </w:r>
      <w:r w:rsidRPr="00E52135">
        <w:rPr>
          <w:sz w:val="20"/>
          <w:szCs w:val="20"/>
          <w:lang w:val="en-GB"/>
        </w:rPr>
        <w:t>Pilot judgments from the</w:t>
      </w:r>
      <w:r>
        <w:rPr>
          <w:sz w:val="20"/>
          <w:szCs w:val="20"/>
          <w:lang w:val="en-GB"/>
        </w:rPr>
        <w:t xml:space="preserve"> </w:t>
      </w:r>
      <w:r w:rsidRPr="00E52135">
        <w:rPr>
          <w:sz w:val="20"/>
          <w:szCs w:val="20"/>
          <w:lang w:val="en-GB"/>
        </w:rPr>
        <w:t>Court’s</w:t>
      </w:r>
      <w:r>
        <w:rPr>
          <w:sz w:val="20"/>
          <w:szCs w:val="20"/>
          <w:lang w:val="en-GB"/>
        </w:rPr>
        <w:t xml:space="preserve"> Perspective, Conference of </w:t>
      </w:r>
      <w:r w:rsidRPr="00F2454D">
        <w:rPr>
          <w:sz w:val="20"/>
          <w:szCs w:val="20"/>
          <w:lang w:val="en-GB"/>
        </w:rPr>
        <w:t xml:space="preserve">Stockholm, </w:t>
      </w:r>
      <w:r w:rsidRPr="00E52135">
        <w:rPr>
          <w:sz w:val="20"/>
          <w:szCs w:val="20"/>
          <w:lang w:val="en-GB"/>
        </w:rPr>
        <w:t>H/</w:t>
      </w:r>
      <w:proofErr w:type="spellStart"/>
      <w:r w:rsidRPr="00E52135">
        <w:rPr>
          <w:sz w:val="20"/>
          <w:szCs w:val="20"/>
          <w:lang w:val="en-GB"/>
        </w:rPr>
        <w:t>Inf</w:t>
      </w:r>
      <w:proofErr w:type="spellEnd"/>
      <w:r>
        <w:rPr>
          <w:sz w:val="20"/>
          <w:szCs w:val="20"/>
          <w:lang w:val="en-GB"/>
        </w:rPr>
        <w:t>(</w:t>
      </w:r>
      <w:r w:rsidRPr="00F2454D">
        <w:rPr>
          <w:sz w:val="20"/>
          <w:szCs w:val="20"/>
          <w:lang w:val="en-GB"/>
        </w:rPr>
        <w:t>2008)</w:t>
      </w:r>
      <w:r>
        <w:rPr>
          <w:sz w:val="20"/>
          <w:szCs w:val="20"/>
          <w:lang w:val="en-GB"/>
        </w:rPr>
        <w:t>/11)</w:t>
      </w:r>
    </w:p>
  </w:footnote>
  <w:footnote w:id="15">
    <w:p w:rsidR="00D17F78" w:rsidRPr="00487D23" w:rsidRDefault="00D17F78" w:rsidP="00D17F78">
      <w:pPr>
        <w:pStyle w:val="Textodenotaderodap"/>
        <w:jc w:val="both"/>
        <w:rPr>
          <w:sz w:val="20"/>
          <w:szCs w:val="20"/>
          <w:lang w:val="en-US"/>
        </w:rPr>
      </w:pPr>
      <w:r w:rsidRPr="00731401">
        <w:rPr>
          <w:rStyle w:val="Refdenotaderodap"/>
          <w:sz w:val="20"/>
          <w:szCs w:val="20"/>
        </w:rPr>
        <w:footnoteRef/>
      </w:r>
      <w:r w:rsidRPr="00487D23">
        <w:rPr>
          <w:sz w:val="20"/>
          <w:szCs w:val="20"/>
          <w:lang w:val="en-US"/>
        </w:rPr>
        <w:t xml:space="preserve"> See the answer of </w:t>
      </w:r>
      <w:proofErr w:type="spellStart"/>
      <w:r w:rsidRPr="00487D23">
        <w:rPr>
          <w:sz w:val="20"/>
          <w:szCs w:val="20"/>
          <w:lang w:val="en-US"/>
        </w:rPr>
        <w:t>Nuala</w:t>
      </w:r>
      <w:proofErr w:type="spellEnd"/>
      <w:r w:rsidRPr="00487D23">
        <w:rPr>
          <w:sz w:val="20"/>
          <w:szCs w:val="20"/>
          <w:lang w:val="en-US"/>
        </w:rPr>
        <w:t xml:space="preserve"> Mole (AIRE Centre) to the </w:t>
      </w:r>
      <w:r w:rsidRPr="00487D23">
        <w:rPr>
          <w:rFonts w:eastAsia="Times New Roman" w:cs="Times New Roman"/>
          <w:sz w:val="20"/>
          <w:szCs w:val="20"/>
          <w:lang w:val="en-US"/>
        </w:rPr>
        <w:t xml:space="preserve">open call for information, proposals and views on the issue of the longer-term reform of the system of the European Convention on Human Rights and the European Court of Human Right, held by the </w:t>
      </w:r>
      <w:r w:rsidRPr="00487D23">
        <w:rPr>
          <w:sz w:val="20"/>
          <w:szCs w:val="20"/>
          <w:lang w:val="en-US"/>
        </w:rPr>
        <w:t xml:space="preserve">DH-GDR (doc. DH-GDR(2013)R5) ; See also E. Lambert </w:t>
      </w:r>
      <w:proofErr w:type="spellStart"/>
      <w:r w:rsidRPr="00487D23">
        <w:rPr>
          <w:sz w:val="20"/>
          <w:szCs w:val="20"/>
          <w:lang w:val="en-US"/>
        </w:rPr>
        <w:t>Abdelgawad</w:t>
      </w:r>
      <w:proofErr w:type="spellEnd"/>
      <w:r w:rsidRPr="00487D23">
        <w:rPr>
          <w:sz w:val="20"/>
          <w:szCs w:val="20"/>
          <w:lang w:val="en-US"/>
        </w:rPr>
        <w:t xml:space="preserve">, </w:t>
      </w:r>
      <w:r w:rsidRPr="00487D23">
        <w:rPr>
          <w:i/>
          <w:iCs/>
          <w:color w:val="000000"/>
          <w:sz w:val="20"/>
          <w:szCs w:val="20"/>
          <w:lang w:val="en-US"/>
        </w:rPr>
        <w:t>op. cit.</w:t>
      </w:r>
      <w:r w:rsidRPr="00487D23">
        <w:rPr>
          <w:sz w:val="20"/>
          <w:szCs w:val="20"/>
          <w:lang w:val="en-US"/>
        </w:rPr>
        <w:t xml:space="preserve">  </w:t>
      </w:r>
    </w:p>
  </w:footnote>
  <w:footnote w:id="16">
    <w:p w:rsidR="00D17F78" w:rsidRPr="00487D23" w:rsidRDefault="00D17F78" w:rsidP="00D17F78">
      <w:pPr>
        <w:pStyle w:val="Textodenotaderodap"/>
        <w:rPr>
          <w:sz w:val="20"/>
          <w:szCs w:val="20"/>
          <w:lang w:val="en-US"/>
        </w:rPr>
      </w:pPr>
      <w:r w:rsidRPr="00731401">
        <w:rPr>
          <w:rStyle w:val="Refdenotaderodap"/>
          <w:sz w:val="20"/>
          <w:szCs w:val="20"/>
        </w:rPr>
        <w:footnoteRef/>
      </w:r>
      <w:r w:rsidRPr="00487D23">
        <w:rPr>
          <w:sz w:val="20"/>
          <w:szCs w:val="20"/>
          <w:lang w:val="en-US"/>
        </w:rPr>
        <w:t xml:space="preserve">  See, for example the replies of </w:t>
      </w:r>
      <w:proofErr w:type="spellStart"/>
      <w:r w:rsidRPr="00487D23">
        <w:rPr>
          <w:sz w:val="20"/>
          <w:szCs w:val="20"/>
          <w:lang w:val="en-US"/>
        </w:rPr>
        <w:t>Mrs</w:t>
      </w:r>
      <w:proofErr w:type="spellEnd"/>
      <w:r w:rsidRPr="00487D23">
        <w:rPr>
          <w:sz w:val="20"/>
          <w:szCs w:val="20"/>
          <w:lang w:val="en-US"/>
        </w:rPr>
        <w:t xml:space="preserve"> Mr., </w:t>
      </w:r>
      <w:proofErr w:type="spellStart"/>
      <w:r w:rsidRPr="00487D23">
        <w:rPr>
          <w:sz w:val="20"/>
          <w:szCs w:val="20"/>
          <w:lang w:val="en-US"/>
        </w:rPr>
        <w:t>Bultrini</w:t>
      </w:r>
      <w:proofErr w:type="spellEnd"/>
      <w:r w:rsidRPr="00487D23">
        <w:rPr>
          <w:sz w:val="20"/>
          <w:szCs w:val="20"/>
          <w:lang w:val="en-US"/>
        </w:rPr>
        <w:t xml:space="preserve">, de </w:t>
      </w:r>
      <w:proofErr w:type="spellStart"/>
      <w:r w:rsidRPr="00487D23">
        <w:rPr>
          <w:sz w:val="20"/>
          <w:szCs w:val="20"/>
          <w:lang w:val="en-US"/>
        </w:rPr>
        <w:t>Graaf</w:t>
      </w:r>
      <w:proofErr w:type="spellEnd"/>
      <w:r w:rsidRPr="00487D23">
        <w:rPr>
          <w:sz w:val="20"/>
          <w:szCs w:val="20"/>
          <w:lang w:val="en-US"/>
        </w:rPr>
        <w:t xml:space="preserve">, Lambert </w:t>
      </w:r>
      <w:proofErr w:type="spellStart"/>
      <w:r w:rsidRPr="00487D23">
        <w:rPr>
          <w:sz w:val="20"/>
          <w:szCs w:val="20"/>
          <w:lang w:val="en-US"/>
        </w:rPr>
        <w:t>Abdelgawad</w:t>
      </w:r>
      <w:proofErr w:type="spellEnd"/>
      <w:r w:rsidRPr="00487D23">
        <w:rPr>
          <w:sz w:val="20"/>
          <w:szCs w:val="20"/>
          <w:lang w:val="en-US"/>
        </w:rPr>
        <w:t xml:space="preserve">, Leach, </w:t>
      </w:r>
      <w:proofErr w:type="spellStart"/>
      <w:r w:rsidRPr="00487D23">
        <w:rPr>
          <w:sz w:val="20"/>
          <w:szCs w:val="20"/>
          <w:lang w:val="en-US"/>
        </w:rPr>
        <w:t>Mamou</w:t>
      </w:r>
      <w:proofErr w:type="spellEnd"/>
      <w:r w:rsidRPr="00487D23">
        <w:rPr>
          <w:sz w:val="20"/>
          <w:szCs w:val="20"/>
          <w:lang w:val="en-US"/>
        </w:rPr>
        <w:t xml:space="preserve">, Mole, Patrick, </w:t>
      </w:r>
      <w:proofErr w:type="spellStart"/>
      <w:r w:rsidRPr="00487D23">
        <w:rPr>
          <w:sz w:val="20"/>
          <w:szCs w:val="20"/>
          <w:lang w:val="en-US"/>
        </w:rPr>
        <w:t>Pettiti</w:t>
      </w:r>
      <w:proofErr w:type="spellEnd"/>
      <w:r w:rsidRPr="00487D23">
        <w:rPr>
          <w:sz w:val="20"/>
          <w:szCs w:val="20"/>
          <w:lang w:val="en-US"/>
        </w:rPr>
        <w:t xml:space="preserve">, </w:t>
      </w:r>
      <w:proofErr w:type="spellStart"/>
      <w:r w:rsidRPr="00487D23">
        <w:rPr>
          <w:sz w:val="20"/>
          <w:szCs w:val="20"/>
          <w:lang w:val="en-US"/>
        </w:rPr>
        <w:t>Pillay</w:t>
      </w:r>
      <w:proofErr w:type="spellEnd"/>
      <w:r w:rsidRPr="00487D23">
        <w:rPr>
          <w:sz w:val="20"/>
          <w:szCs w:val="20"/>
          <w:lang w:val="en-US"/>
        </w:rPr>
        <w:t xml:space="preserve">, </w:t>
      </w:r>
      <w:proofErr w:type="spellStart"/>
      <w:r w:rsidRPr="00487D23">
        <w:rPr>
          <w:sz w:val="20"/>
          <w:szCs w:val="20"/>
          <w:lang w:val="en-US"/>
        </w:rPr>
        <w:t>Salajewski</w:t>
      </w:r>
      <w:proofErr w:type="spellEnd"/>
      <w:r w:rsidRPr="00487D23">
        <w:rPr>
          <w:sz w:val="20"/>
          <w:szCs w:val="20"/>
          <w:lang w:val="en-US"/>
        </w:rPr>
        <w:t xml:space="preserve">, </w:t>
      </w:r>
      <w:proofErr w:type="spellStart"/>
      <w:r w:rsidRPr="00487D23">
        <w:rPr>
          <w:sz w:val="20"/>
          <w:szCs w:val="20"/>
          <w:lang w:val="en-US"/>
        </w:rPr>
        <w:t>Wadham</w:t>
      </w:r>
      <w:proofErr w:type="spellEnd"/>
      <w:r w:rsidRPr="00487D23">
        <w:rPr>
          <w:sz w:val="20"/>
          <w:szCs w:val="20"/>
          <w:lang w:val="en-US"/>
        </w:rPr>
        <w:t xml:space="preserve"> to the open call for information of the DH-GDR, </w:t>
      </w:r>
      <w:r w:rsidRPr="00487D23">
        <w:rPr>
          <w:i/>
          <w:iCs/>
          <w:color w:val="000000"/>
          <w:sz w:val="20"/>
          <w:szCs w:val="20"/>
          <w:lang w:val="en-US"/>
        </w:rPr>
        <w:t>op. cit.</w:t>
      </w:r>
      <w:r w:rsidRPr="00487D23">
        <w:rPr>
          <w:sz w:val="20"/>
          <w:szCs w:val="20"/>
          <w:lang w:val="en-US"/>
        </w:rPr>
        <w:t xml:space="preserve">  </w:t>
      </w:r>
    </w:p>
  </w:footnote>
  <w:footnote w:id="17">
    <w:p w:rsidR="00D17F78" w:rsidRPr="00731401" w:rsidRDefault="00D17F78" w:rsidP="00D17F78">
      <w:pPr>
        <w:pStyle w:val="Textodenotaderodap"/>
        <w:jc w:val="both"/>
        <w:rPr>
          <w:sz w:val="20"/>
          <w:szCs w:val="20"/>
        </w:rPr>
      </w:pPr>
      <w:r w:rsidRPr="00731401">
        <w:rPr>
          <w:rStyle w:val="Refdenotaderodap"/>
          <w:sz w:val="20"/>
          <w:szCs w:val="20"/>
        </w:rPr>
        <w:footnoteRef/>
      </w:r>
      <w:r w:rsidRPr="00731401">
        <w:rPr>
          <w:sz w:val="20"/>
          <w:szCs w:val="20"/>
        </w:rPr>
        <w:t xml:space="preserve"> </w:t>
      </w:r>
      <w:proofErr w:type="spellStart"/>
      <w:r>
        <w:rPr>
          <w:sz w:val="20"/>
          <w:szCs w:val="20"/>
        </w:rPr>
        <w:t>See</w:t>
      </w:r>
      <w:proofErr w:type="spellEnd"/>
      <w:r w:rsidRPr="00731401">
        <w:rPr>
          <w:sz w:val="20"/>
          <w:szCs w:val="20"/>
        </w:rPr>
        <w:t xml:space="preserve"> </w:t>
      </w:r>
      <w:proofErr w:type="spellStart"/>
      <w:r w:rsidRPr="00731401">
        <w:rPr>
          <w:sz w:val="20"/>
          <w:szCs w:val="20"/>
        </w:rPr>
        <w:t>Tulkens</w:t>
      </w:r>
      <w:proofErr w:type="spellEnd"/>
      <w:r w:rsidRPr="00731401">
        <w:rPr>
          <w:sz w:val="20"/>
          <w:szCs w:val="20"/>
        </w:rPr>
        <w:t>, F. « </w:t>
      </w:r>
      <w:r w:rsidRPr="00731401">
        <w:rPr>
          <w:color w:val="000000"/>
          <w:sz w:val="20"/>
          <w:szCs w:val="20"/>
        </w:rPr>
        <w:t xml:space="preserve">Droits de l'homme et prison, jurisprudence de la nouvelle Cour européenne des droits de l'homme », </w:t>
      </w:r>
      <w:r w:rsidRPr="00731401">
        <w:rPr>
          <w:i/>
          <w:iCs/>
          <w:color w:val="000000"/>
          <w:sz w:val="20"/>
          <w:szCs w:val="20"/>
        </w:rPr>
        <w:t xml:space="preserve">in </w:t>
      </w:r>
      <w:r w:rsidRPr="00731401">
        <w:rPr>
          <w:color w:val="000000"/>
          <w:sz w:val="20"/>
          <w:szCs w:val="20"/>
        </w:rPr>
        <w:t>O. De SCHUTTER et D. KAMINSKI (</w:t>
      </w:r>
      <w:proofErr w:type="spellStart"/>
      <w:r w:rsidRPr="00731401">
        <w:rPr>
          <w:color w:val="000000"/>
          <w:sz w:val="20"/>
          <w:szCs w:val="20"/>
        </w:rPr>
        <w:t>dir</w:t>
      </w:r>
      <w:proofErr w:type="spellEnd"/>
      <w:r w:rsidRPr="00731401">
        <w:rPr>
          <w:color w:val="000000"/>
          <w:sz w:val="20"/>
          <w:szCs w:val="20"/>
        </w:rPr>
        <w:t xml:space="preserve">.), </w:t>
      </w:r>
      <w:r w:rsidRPr="00731401">
        <w:rPr>
          <w:i/>
          <w:iCs/>
          <w:color w:val="000000"/>
          <w:sz w:val="20"/>
          <w:szCs w:val="20"/>
        </w:rPr>
        <w:t>L’institution du droit pénitentiaire, enjeux de la reconnaissance de droits aux détenus</w:t>
      </w:r>
      <w:r w:rsidRPr="00731401">
        <w:rPr>
          <w:color w:val="000000"/>
          <w:sz w:val="20"/>
          <w:szCs w:val="20"/>
        </w:rPr>
        <w:t xml:space="preserve">, </w:t>
      </w:r>
      <w:r w:rsidRPr="00731401">
        <w:rPr>
          <w:i/>
          <w:iCs/>
          <w:color w:val="000000"/>
          <w:sz w:val="20"/>
          <w:szCs w:val="20"/>
        </w:rPr>
        <w:t xml:space="preserve">op. </w:t>
      </w:r>
      <w:proofErr w:type="spellStart"/>
      <w:r w:rsidRPr="00731401">
        <w:rPr>
          <w:i/>
          <w:iCs/>
          <w:color w:val="000000"/>
          <w:sz w:val="20"/>
          <w:szCs w:val="20"/>
        </w:rPr>
        <w:t>cit</w:t>
      </w:r>
      <w:proofErr w:type="spellEnd"/>
      <w:r w:rsidRPr="00731401">
        <w:rPr>
          <w:i/>
          <w:iCs/>
          <w:color w:val="000000"/>
          <w:sz w:val="20"/>
          <w:szCs w:val="20"/>
        </w:rPr>
        <w:t>.</w:t>
      </w:r>
      <w:r w:rsidRPr="00731401">
        <w:rPr>
          <w:color w:val="000000"/>
          <w:sz w:val="20"/>
          <w:szCs w:val="20"/>
        </w:rPr>
        <w:t xml:space="preserve">, pp. 249-285. </w:t>
      </w:r>
      <w:r w:rsidRPr="00731401">
        <w:rPr>
          <w:sz w:val="20"/>
          <w:szCs w:val="20"/>
        </w:rPr>
        <w:t xml:space="preserve"> </w:t>
      </w:r>
    </w:p>
  </w:footnote>
  <w:footnote w:id="18">
    <w:p w:rsidR="00D17F78" w:rsidRPr="00487D23" w:rsidRDefault="00D17F78" w:rsidP="00D17F78">
      <w:pPr>
        <w:rPr>
          <w:sz w:val="20"/>
          <w:szCs w:val="20"/>
          <w:lang w:val="en-US"/>
        </w:rPr>
      </w:pPr>
      <w:r w:rsidRPr="00731401">
        <w:rPr>
          <w:rStyle w:val="Refdenotaderodap"/>
          <w:sz w:val="20"/>
          <w:szCs w:val="20"/>
        </w:rPr>
        <w:footnoteRef/>
      </w:r>
      <w:r w:rsidRPr="00487D23">
        <w:rPr>
          <w:sz w:val="20"/>
          <w:szCs w:val="20"/>
          <w:lang w:val="en-US"/>
        </w:rPr>
        <w:t xml:space="preserve"> See the case </w:t>
      </w:r>
      <w:r w:rsidRPr="00487D23">
        <w:rPr>
          <w:i/>
          <w:sz w:val="20"/>
          <w:szCs w:val="20"/>
          <w:lang w:val="en-US"/>
        </w:rPr>
        <w:t xml:space="preserve">Center of legal resources on behalf  of Valentin </w:t>
      </w:r>
      <w:proofErr w:type="spellStart"/>
      <w:r w:rsidRPr="00487D23">
        <w:rPr>
          <w:i/>
          <w:sz w:val="20"/>
          <w:szCs w:val="20"/>
          <w:lang w:val="en-US"/>
        </w:rPr>
        <w:t>Câmpeanu</w:t>
      </w:r>
      <w:proofErr w:type="spellEnd"/>
      <w:r w:rsidRPr="00487D23">
        <w:rPr>
          <w:i/>
          <w:sz w:val="20"/>
          <w:szCs w:val="20"/>
          <w:lang w:val="en-US"/>
        </w:rPr>
        <w:t xml:space="preserve"> v. Romania</w:t>
      </w:r>
      <w:r w:rsidRPr="00487D23">
        <w:rPr>
          <w:sz w:val="20"/>
          <w:szCs w:val="20"/>
          <w:lang w:val="en-US"/>
        </w:rPr>
        <w:t xml:space="preserve">, 17/07/2014, n°47848/08 ; on the important role non-governmental organisations played in a democratic society, see, for instance, Vides </w:t>
      </w:r>
      <w:proofErr w:type="spellStart"/>
      <w:r w:rsidRPr="00487D23">
        <w:rPr>
          <w:sz w:val="20"/>
          <w:szCs w:val="20"/>
          <w:lang w:val="en-US"/>
        </w:rPr>
        <w:t>Aizsardzības</w:t>
      </w:r>
      <w:proofErr w:type="spellEnd"/>
      <w:r w:rsidRPr="00487D23">
        <w:rPr>
          <w:sz w:val="20"/>
          <w:szCs w:val="20"/>
          <w:lang w:val="en-US"/>
        </w:rPr>
        <w:t xml:space="preserve"> </w:t>
      </w:r>
      <w:proofErr w:type="spellStart"/>
      <w:r w:rsidRPr="00487D23">
        <w:rPr>
          <w:sz w:val="20"/>
          <w:szCs w:val="20"/>
          <w:lang w:val="en-US"/>
        </w:rPr>
        <w:t>Klubs</w:t>
      </w:r>
      <w:proofErr w:type="spellEnd"/>
      <w:r w:rsidRPr="00487D23">
        <w:rPr>
          <w:sz w:val="20"/>
          <w:szCs w:val="20"/>
          <w:lang w:val="en-US"/>
        </w:rPr>
        <w:t xml:space="preserve"> v. Latvia, 27/05/2004, no 57829/00, § 42 ; </w:t>
      </w:r>
      <w:proofErr w:type="spellStart"/>
      <w:r w:rsidRPr="00487D23">
        <w:rPr>
          <w:sz w:val="20"/>
          <w:szCs w:val="20"/>
          <w:lang w:val="en-US"/>
        </w:rPr>
        <w:t>Collectif</w:t>
      </w:r>
      <w:proofErr w:type="spellEnd"/>
      <w:r w:rsidRPr="00487D23">
        <w:rPr>
          <w:sz w:val="20"/>
          <w:szCs w:val="20"/>
          <w:lang w:val="en-US"/>
        </w:rPr>
        <w:t xml:space="preserve"> Stop </w:t>
      </w:r>
      <w:proofErr w:type="spellStart"/>
      <w:r w:rsidRPr="00487D23">
        <w:rPr>
          <w:sz w:val="20"/>
          <w:szCs w:val="20"/>
          <w:lang w:val="en-US"/>
        </w:rPr>
        <w:t>Melox</w:t>
      </w:r>
      <w:proofErr w:type="spellEnd"/>
      <w:r w:rsidRPr="00487D23">
        <w:rPr>
          <w:sz w:val="20"/>
          <w:szCs w:val="20"/>
          <w:lang w:val="en-US"/>
        </w:rPr>
        <w:t xml:space="preserve"> et </w:t>
      </w:r>
      <w:proofErr w:type="spellStart"/>
      <w:r w:rsidRPr="00487D23">
        <w:rPr>
          <w:sz w:val="20"/>
          <w:szCs w:val="20"/>
          <w:lang w:val="en-US"/>
        </w:rPr>
        <w:t>Mox</w:t>
      </w:r>
      <w:proofErr w:type="spellEnd"/>
      <w:r w:rsidRPr="00487D23">
        <w:rPr>
          <w:sz w:val="20"/>
          <w:szCs w:val="20"/>
          <w:lang w:val="en-US"/>
        </w:rPr>
        <w:t xml:space="preserve"> v. France (</w:t>
      </w:r>
      <w:proofErr w:type="spellStart"/>
      <w:r w:rsidRPr="00487D23">
        <w:rPr>
          <w:sz w:val="20"/>
          <w:szCs w:val="20"/>
          <w:lang w:val="en-US"/>
        </w:rPr>
        <w:t>dec</w:t>
      </w:r>
      <w:proofErr w:type="spellEnd"/>
      <w:r w:rsidRPr="00487D23">
        <w:rPr>
          <w:sz w:val="20"/>
          <w:szCs w:val="20"/>
          <w:lang w:val="en-US"/>
        </w:rPr>
        <w:t>), 28/03/2006, no 75218/01.</w:t>
      </w:r>
    </w:p>
  </w:footnote>
  <w:footnote w:id="19">
    <w:p w:rsidR="00D17F78" w:rsidRPr="00E82601" w:rsidRDefault="00D17F78" w:rsidP="00D17F78">
      <w:pPr>
        <w:jc w:val="both"/>
        <w:rPr>
          <w:rFonts w:ascii="Times" w:eastAsia="Times New Roman" w:hAnsi="Times" w:cs="Times New Roman"/>
          <w:sz w:val="20"/>
          <w:szCs w:val="20"/>
        </w:rPr>
      </w:pPr>
      <w:r w:rsidRPr="00731401">
        <w:rPr>
          <w:rStyle w:val="Refdenotaderodap"/>
          <w:sz w:val="20"/>
          <w:szCs w:val="20"/>
        </w:rPr>
        <w:footnoteRef/>
      </w:r>
      <w:r w:rsidRPr="00731401">
        <w:rPr>
          <w:sz w:val="20"/>
          <w:szCs w:val="20"/>
        </w:rPr>
        <w:t xml:space="preserve"> </w:t>
      </w:r>
      <w:proofErr w:type="spellStart"/>
      <w:r>
        <w:rPr>
          <w:sz w:val="20"/>
          <w:szCs w:val="20"/>
        </w:rPr>
        <w:t>See</w:t>
      </w:r>
      <w:proofErr w:type="spellEnd"/>
      <w:r>
        <w:rPr>
          <w:sz w:val="20"/>
          <w:szCs w:val="20"/>
        </w:rPr>
        <w:t xml:space="preserve"> in </w:t>
      </w:r>
      <w:proofErr w:type="spellStart"/>
      <w:r>
        <w:rPr>
          <w:sz w:val="20"/>
          <w:szCs w:val="20"/>
        </w:rPr>
        <w:t>this</w:t>
      </w:r>
      <w:proofErr w:type="spellEnd"/>
      <w:r>
        <w:rPr>
          <w:sz w:val="20"/>
          <w:szCs w:val="20"/>
        </w:rPr>
        <w:t xml:space="preserve"> regard the </w:t>
      </w:r>
      <w:proofErr w:type="spellStart"/>
      <w:r>
        <w:rPr>
          <w:sz w:val="20"/>
          <w:szCs w:val="20"/>
        </w:rPr>
        <w:t>criticism</w:t>
      </w:r>
      <w:proofErr w:type="spellEnd"/>
      <w:r>
        <w:rPr>
          <w:sz w:val="20"/>
          <w:szCs w:val="20"/>
        </w:rPr>
        <w:t xml:space="preserve"> </w:t>
      </w:r>
      <w:proofErr w:type="spellStart"/>
      <w:r>
        <w:rPr>
          <w:sz w:val="20"/>
          <w:szCs w:val="20"/>
        </w:rPr>
        <w:t>concerning</w:t>
      </w:r>
      <w:proofErr w:type="spellEnd"/>
      <w:r>
        <w:rPr>
          <w:sz w:val="20"/>
          <w:szCs w:val="20"/>
        </w:rPr>
        <w:t xml:space="preserve"> the </w:t>
      </w:r>
      <w:proofErr w:type="spellStart"/>
      <w:r>
        <w:rPr>
          <w:sz w:val="20"/>
          <w:szCs w:val="20"/>
        </w:rPr>
        <w:t>lack</w:t>
      </w:r>
      <w:proofErr w:type="spellEnd"/>
      <w:r>
        <w:rPr>
          <w:sz w:val="20"/>
          <w:szCs w:val="20"/>
        </w:rPr>
        <w:t xml:space="preserve"> of </w:t>
      </w:r>
      <w:proofErr w:type="spellStart"/>
      <w:r>
        <w:rPr>
          <w:sz w:val="20"/>
          <w:szCs w:val="20"/>
        </w:rPr>
        <w:t>coherence</w:t>
      </w:r>
      <w:proofErr w:type="spellEnd"/>
      <w:r>
        <w:rPr>
          <w:sz w:val="20"/>
          <w:szCs w:val="20"/>
        </w:rPr>
        <w:t xml:space="preserve"> by </w:t>
      </w:r>
      <w:r w:rsidRPr="00731401">
        <w:rPr>
          <w:sz w:val="20"/>
          <w:szCs w:val="20"/>
        </w:rPr>
        <w:t xml:space="preserve">O. </w:t>
      </w:r>
      <w:r w:rsidRPr="00731401">
        <w:rPr>
          <w:rFonts w:ascii="Georgia" w:eastAsia="Times New Roman" w:hAnsi="Georgia" w:cs="Times New Roman"/>
          <w:color w:val="000000"/>
          <w:sz w:val="20"/>
          <w:szCs w:val="20"/>
          <w:shd w:val="clear" w:color="auto" w:fill="FFFFFF"/>
        </w:rPr>
        <w:t xml:space="preserve">de </w:t>
      </w:r>
      <w:proofErr w:type="spellStart"/>
      <w:r w:rsidRPr="00731401">
        <w:rPr>
          <w:rFonts w:ascii="Georgia" w:eastAsia="Times New Roman" w:hAnsi="Georgia" w:cs="Times New Roman"/>
          <w:color w:val="000000"/>
          <w:sz w:val="20"/>
          <w:szCs w:val="20"/>
          <w:shd w:val="clear" w:color="auto" w:fill="FFFFFF"/>
        </w:rPr>
        <w:t>Schutter</w:t>
      </w:r>
      <w:proofErr w:type="spellEnd"/>
      <w:r w:rsidRPr="00731401">
        <w:rPr>
          <w:rFonts w:ascii="Georgia" w:eastAsia="Times New Roman" w:hAnsi="Georgia" w:cs="Times New Roman"/>
          <w:color w:val="000000"/>
          <w:sz w:val="20"/>
          <w:szCs w:val="20"/>
          <w:shd w:val="clear" w:color="auto" w:fill="FFFFFF"/>
        </w:rPr>
        <w:t xml:space="preserve">, </w:t>
      </w:r>
      <w:r w:rsidRPr="00731401">
        <w:rPr>
          <w:sz w:val="20"/>
          <w:szCs w:val="20"/>
        </w:rPr>
        <w:t>« </w:t>
      </w:r>
      <w:r w:rsidRPr="00731401">
        <w:rPr>
          <w:rFonts w:ascii="Georgia" w:eastAsia="Times New Roman" w:hAnsi="Georgia" w:cs="Times New Roman"/>
          <w:color w:val="000000"/>
          <w:sz w:val="20"/>
          <w:szCs w:val="20"/>
          <w:shd w:val="clear" w:color="auto" w:fill="FFFFFF"/>
        </w:rPr>
        <w:t>L'accès des personnes morales à la Cour e</w:t>
      </w:r>
      <w:r>
        <w:rPr>
          <w:rFonts w:ascii="Georgia" w:eastAsia="Times New Roman" w:hAnsi="Georgia" w:cs="Times New Roman"/>
          <w:color w:val="000000"/>
          <w:sz w:val="20"/>
          <w:szCs w:val="20"/>
          <w:shd w:val="clear" w:color="auto" w:fill="FFFFFF"/>
        </w:rPr>
        <w:t>uropéenne des droits de l'homme</w:t>
      </w:r>
      <w:r w:rsidRPr="00731401">
        <w:rPr>
          <w:color w:val="000000"/>
          <w:sz w:val="20"/>
          <w:szCs w:val="20"/>
        </w:rPr>
        <w:t xml:space="preserve"> »</w:t>
      </w:r>
      <w:r w:rsidRPr="00731401">
        <w:rPr>
          <w:rFonts w:ascii="Georgia" w:eastAsia="Times New Roman" w:hAnsi="Georgia" w:cs="Times New Roman"/>
          <w:color w:val="000000"/>
          <w:sz w:val="20"/>
          <w:szCs w:val="20"/>
          <w:shd w:val="clear" w:color="auto" w:fill="FFFFFF"/>
        </w:rPr>
        <w:t xml:space="preserve">, </w:t>
      </w:r>
      <w:r w:rsidRPr="00731401">
        <w:rPr>
          <w:rFonts w:ascii="Georgia" w:eastAsia="Times New Roman" w:hAnsi="Georgia" w:cs="Times New Roman"/>
          <w:i/>
          <w:iCs/>
          <w:color w:val="000000"/>
          <w:sz w:val="20"/>
          <w:szCs w:val="20"/>
          <w:shd w:val="clear" w:color="auto" w:fill="FFFFFF"/>
        </w:rPr>
        <w:t xml:space="preserve">Avancées et confins actuels des droits de l'homme aux niveaux international, européen et national. Mélanges offerts à Silvio Marcus </w:t>
      </w:r>
      <w:proofErr w:type="spellStart"/>
      <w:r w:rsidRPr="00731401">
        <w:rPr>
          <w:rFonts w:ascii="Georgia" w:eastAsia="Times New Roman" w:hAnsi="Georgia" w:cs="Times New Roman"/>
          <w:i/>
          <w:iCs/>
          <w:color w:val="000000"/>
          <w:sz w:val="20"/>
          <w:szCs w:val="20"/>
          <w:shd w:val="clear" w:color="auto" w:fill="FFFFFF"/>
        </w:rPr>
        <w:t>Helmons</w:t>
      </w:r>
      <w:proofErr w:type="spellEnd"/>
      <w:r w:rsidRPr="00731401">
        <w:rPr>
          <w:rFonts w:ascii="Georgia" w:eastAsia="Times New Roman" w:hAnsi="Georgia" w:cs="Times New Roman"/>
          <w:color w:val="000000"/>
          <w:sz w:val="20"/>
          <w:szCs w:val="20"/>
          <w:shd w:val="clear" w:color="auto" w:fill="FFFFFF"/>
        </w:rPr>
        <w:t xml:space="preserve">, Bruxelles, </w:t>
      </w:r>
      <w:proofErr w:type="spellStart"/>
      <w:r w:rsidRPr="00731401">
        <w:rPr>
          <w:rFonts w:ascii="Georgia" w:eastAsia="Times New Roman" w:hAnsi="Georgia" w:cs="Times New Roman"/>
          <w:color w:val="000000"/>
          <w:sz w:val="20"/>
          <w:szCs w:val="20"/>
          <w:shd w:val="clear" w:color="auto" w:fill="FFFFFF"/>
        </w:rPr>
        <w:t>Bruylant</w:t>
      </w:r>
      <w:proofErr w:type="spellEnd"/>
      <w:r w:rsidRPr="00731401">
        <w:rPr>
          <w:rFonts w:ascii="Georgia" w:eastAsia="Times New Roman" w:hAnsi="Georgia" w:cs="Times New Roman"/>
          <w:color w:val="000000"/>
          <w:sz w:val="20"/>
          <w:szCs w:val="20"/>
          <w:shd w:val="clear" w:color="auto" w:fill="FFFFFF"/>
        </w:rPr>
        <w:t xml:space="preserve">, </w:t>
      </w:r>
      <w:r>
        <w:rPr>
          <w:rFonts w:ascii="Georgia" w:eastAsia="Times New Roman" w:hAnsi="Georgia" w:cs="Times New Roman"/>
          <w:color w:val="000000"/>
          <w:sz w:val="20"/>
          <w:szCs w:val="20"/>
          <w:shd w:val="clear" w:color="auto" w:fill="FFFFFF"/>
        </w:rPr>
        <w:t>2003</w:t>
      </w:r>
      <w:r w:rsidRPr="00731401">
        <w:rPr>
          <w:rFonts w:ascii="Georgia" w:eastAsia="Times New Roman" w:hAnsi="Georgia" w:cs="Times New Roman"/>
          <w:color w:val="000000"/>
          <w:sz w:val="20"/>
          <w:szCs w:val="20"/>
          <w:shd w:val="clear" w:color="auto" w:fill="FFFFFF"/>
        </w:rPr>
        <w:t xml:space="preserve">, pp. 83-108., </w:t>
      </w:r>
      <w:r>
        <w:rPr>
          <w:rFonts w:ascii="Georgia" w:eastAsia="Times New Roman" w:hAnsi="Georgia" w:cs="Times New Roman"/>
          <w:color w:val="000000"/>
          <w:sz w:val="20"/>
          <w:szCs w:val="20"/>
          <w:shd w:val="clear" w:color="auto" w:fill="FFFFFF"/>
        </w:rPr>
        <w:t xml:space="preserve">and in </w:t>
      </w:r>
      <w:proofErr w:type="spellStart"/>
      <w:r>
        <w:rPr>
          <w:rFonts w:ascii="Georgia" w:eastAsia="Times New Roman" w:hAnsi="Georgia" w:cs="Times New Roman"/>
          <w:color w:val="000000"/>
          <w:sz w:val="20"/>
          <w:szCs w:val="20"/>
          <w:shd w:val="clear" w:color="auto" w:fill="FFFFFF"/>
        </w:rPr>
        <w:t>particular</w:t>
      </w:r>
      <w:proofErr w:type="spellEnd"/>
      <w:r>
        <w:rPr>
          <w:rFonts w:ascii="Georgia" w:eastAsia="Times New Roman" w:hAnsi="Georgia" w:cs="Times New Roman"/>
          <w:color w:val="000000"/>
          <w:sz w:val="20"/>
          <w:szCs w:val="20"/>
          <w:shd w:val="clear" w:color="auto" w:fill="FFFFFF"/>
        </w:rPr>
        <w:t xml:space="preserve">, the </w:t>
      </w:r>
      <w:proofErr w:type="spellStart"/>
      <w:r>
        <w:rPr>
          <w:rFonts w:ascii="Georgia" w:eastAsia="Times New Roman" w:hAnsi="Georgia" w:cs="Times New Roman"/>
          <w:color w:val="000000"/>
          <w:sz w:val="20"/>
          <w:szCs w:val="20"/>
          <w:shd w:val="clear" w:color="auto" w:fill="FFFFFF"/>
        </w:rPr>
        <w:t>commentary</w:t>
      </w:r>
      <w:proofErr w:type="spellEnd"/>
      <w:r>
        <w:rPr>
          <w:rFonts w:ascii="Georgia" w:eastAsia="Times New Roman" w:hAnsi="Georgia" w:cs="Times New Roman"/>
          <w:color w:val="000000"/>
          <w:sz w:val="20"/>
          <w:szCs w:val="20"/>
          <w:shd w:val="clear" w:color="auto" w:fill="FFFFFF"/>
        </w:rPr>
        <w:t xml:space="preserve"> on the </w:t>
      </w:r>
      <w:proofErr w:type="spellStart"/>
      <w:r>
        <w:rPr>
          <w:rFonts w:ascii="Georgia" w:eastAsia="Times New Roman" w:hAnsi="Georgia" w:cs="Times New Roman"/>
          <w:color w:val="000000"/>
          <w:sz w:val="20"/>
          <w:szCs w:val="20"/>
          <w:shd w:val="clear" w:color="auto" w:fill="FFFFFF"/>
        </w:rPr>
        <w:t>decision</w:t>
      </w:r>
      <w:proofErr w:type="spellEnd"/>
      <w:r>
        <w:rPr>
          <w:rFonts w:ascii="Georgia" w:eastAsia="Times New Roman" w:hAnsi="Georgia" w:cs="Times New Roman"/>
          <w:color w:val="000000"/>
          <w:sz w:val="20"/>
          <w:szCs w:val="20"/>
          <w:shd w:val="clear" w:color="auto" w:fill="FFFFFF"/>
        </w:rPr>
        <w:t xml:space="preserve"> </w:t>
      </w:r>
      <w:proofErr w:type="spellStart"/>
      <w:r w:rsidRPr="00E82601">
        <w:rPr>
          <w:rFonts w:ascii="Georgia" w:eastAsia="Times New Roman" w:hAnsi="Georgia" w:cs="Times New Roman"/>
          <w:i/>
          <w:color w:val="000000"/>
          <w:sz w:val="20"/>
          <w:szCs w:val="20"/>
          <w:shd w:val="clear" w:color="auto" w:fill="FFFFFF"/>
        </w:rPr>
        <w:t>Agrotexim</w:t>
      </w:r>
      <w:proofErr w:type="spellEnd"/>
      <w:r w:rsidRPr="00E82601">
        <w:rPr>
          <w:rFonts w:ascii="Georgia" w:eastAsia="Times New Roman" w:hAnsi="Georgia" w:cs="Times New Roman"/>
          <w:i/>
          <w:color w:val="000000"/>
          <w:sz w:val="20"/>
          <w:szCs w:val="20"/>
          <w:shd w:val="clear" w:color="auto" w:fill="FFFFFF"/>
        </w:rPr>
        <w:t xml:space="preserve"> et a. c. Grèce</w:t>
      </w:r>
      <w:r w:rsidRPr="00731401">
        <w:rPr>
          <w:rFonts w:ascii="Georgia" w:eastAsia="Times New Roman" w:hAnsi="Georgia" w:cs="Times New Roman"/>
          <w:color w:val="000000"/>
          <w:sz w:val="20"/>
          <w:szCs w:val="20"/>
          <w:shd w:val="clear" w:color="auto" w:fill="FFFFFF"/>
        </w:rPr>
        <w:t xml:space="preserve">, 24 </w:t>
      </w:r>
      <w:proofErr w:type="spellStart"/>
      <w:r w:rsidRPr="00731401">
        <w:rPr>
          <w:rFonts w:ascii="Georgia" w:eastAsia="Times New Roman" w:hAnsi="Georgia" w:cs="Times New Roman"/>
          <w:color w:val="000000"/>
          <w:sz w:val="20"/>
          <w:szCs w:val="20"/>
          <w:shd w:val="clear" w:color="auto" w:fill="FFFFFF"/>
        </w:rPr>
        <w:t>octob</w:t>
      </w:r>
      <w:r>
        <w:rPr>
          <w:rFonts w:ascii="Georgia" w:eastAsia="Times New Roman" w:hAnsi="Georgia" w:cs="Times New Roman"/>
          <w:color w:val="000000"/>
          <w:sz w:val="20"/>
          <w:szCs w:val="20"/>
          <w:shd w:val="clear" w:color="auto" w:fill="FFFFFF"/>
        </w:rPr>
        <w:t>er</w:t>
      </w:r>
      <w:proofErr w:type="spellEnd"/>
      <w:r>
        <w:rPr>
          <w:rFonts w:ascii="Georgia" w:eastAsia="Times New Roman" w:hAnsi="Georgia" w:cs="Times New Roman"/>
          <w:color w:val="000000"/>
          <w:sz w:val="20"/>
          <w:szCs w:val="20"/>
          <w:shd w:val="clear" w:color="auto" w:fill="FFFFFF"/>
        </w:rPr>
        <w:t xml:space="preserve"> </w:t>
      </w:r>
      <w:r w:rsidRPr="00731401">
        <w:rPr>
          <w:rFonts w:ascii="Georgia" w:eastAsia="Times New Roman" w:hAnsi="Georgia" w:cs="Times New Roman"/>
          <w:color w:val="000000"/>
          <w:sz w:val="20"/>
          <w:szCs w:val="20"/>
          <w:shd w:val="clear" w:color="auto" w:fill="FFFFFF"/>
        </w:rPr>
        <w:t xml:space="preserve">1995. </w:t>
      </w:r>
    </w:p>
  </w:footnote>
  <w:footnote w:id="20">
    <w:p w:rsidR="00FA484B" w:rsidRPr="00487D23" w:rsidRDefault="00FA484B" w:rsidP="00FA484B">
      <w:pPr>
        <w:jc w:val="both"/>
        <w:rPr>
          <w:sz w:val="20"/>
          <w:szCs w:val="20"/>
          <w:lang w:val="en-US"/>
        </w:rPr>
      </w:pPr>
      <w:r w:rsidRPr="00731401">
        <w:rPr>
          <w:rStyle w:val="Refdenotaderodap"/>
          <w:sz w:val="20"/>
          <w:szCs w:val="20"/>
        </w:rPr>
        <w:footnoteRef/>
      </w:r>
      <w:r w:rsidRPr="00487D23">
        <w:rPr>
          <w:sz w:val="20"/>
          <w:szCs w:val="20"/>
          <w:lang w:val="en-US"/>
        </w:rPr>
        <w:t xml:space="preserve"> </w:t>
      </w:r>
      <w:r w:rsidRPr="00487D23">
        <w:rPr>
          <w:i/>
          <w:sz w:val="20"/>
          <w:szCs w:val="20"/>
          <w:lang w:val="en-US"/>
        </w:rPr>
        <w:t xml:space="preserve">Draft CDDH Report on </w:t>
      </w:r>
      <w:r w:rsidRPr="00487D23">
        <w:rPr>
          <w:rFonts w:eastAsia="Times New Roman" w:cs="Times New Roman"/>
          <w:i/>
          <w:sz w:val="20"/>
          <w:szCs w:val="20"/>
          <w:lang w:val="en-US"/>
        </w:rPr>
        <w:t>the advisability and modalities of a “representative application procedure”</w:t>
      </w:r>
      <w:proofErr w:type="gramStart"/>
      <w:r w:rsidRPr="00487D23">
        <w:rPr>
          <w:rFonts w:eastAsia="Times New Roman" w:cs="Times New Roman"/>
          <w:sz w:val="20"/>
          <w:szCs w:val="20"/>
          <w:lang w:val="en-US"/>
        </w:rPr>
        <w:t>,</w:t>
      </w:r>
      <w:r w:rsidRPr="00487D23">
        <w:rPr>
          <w:rFonts w:eastAsia="Times New Roman" w:cs="Times New Roman"/>
          <w:i/>
          <w:sz w:val="20"/>
          <w:szCs w:val="20"/>
          <w:lang w:val="en-US"/>
        </w:rPr>
        <w:t xml:space="preserve"> </w:t>
      </w:r>
      <w:r w:rsidRPr="00487D23">
        <w:rPr>
          <w:i/>
          <w:sz w:val="20"/>
          <w:szCs w:val="20"/>
          <w:lang w:val="en-US"/>
        </w:rPr>
        <w:t xml:space="preserve"> </w:t>
      </w:r>
      <w:r w:rsidRPr="00487D23">
        <w:rPr>
          <w:sz w:val="20"/>
          <w:szCs w:val="20"/>
          <w:lang w:val="en-US"/>
        </w:rPr>
        <w:t>(</w:t>
      </w:r>
      <w:proofErr w:type="gramEnd"/>
      <w:r w:rsidRPr="00487D23">
        <w:rPr>
          <w:sz w:val="20"/>
          <w:szCs w:val="20"/>
          <w:lang w:val="en-US"/>
        </w:rPr>
        <w:t xml:space="preserve">GT-GDR-C(2013)R2).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78"/>
    <w:rsid w:val="001D7033"/>
    <w:rsid w:val="00411DCB"/>
    <w:rsid w:val="00635EEC"/>
    <w:rsid w:val="007204FF"/>
    <w:rsid w:val="00C876A3"/>
    <w:rsid w:val="00D17F78"/>
    <w:rsid w:val="00D43C64"/>
    <w:rsid w:val="00FA48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7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D17F78"/>
    <w:rPr>
      <w:color w:val="0000FF"/>
      <w:u w:val="single"/>
    </w:rPr>
  </w:style>
  <w:style w:type="paragraph" w:styleId="NormalWeb">
    <w:name w:val="Normal (Web)"/>
    <w:basedOn w:val="Normal"/>
    <w:uiPriority w:val="99"/>
    <w:unhideWhenUsed/>
    <w:rsid w:val="00D17F78"/>
    <w:pPr>
      <w:spacing w:before="100" w:beforeAutospacing="1" w:after="119"/>
    </w:pPr>
    <w:rPr>
      <w:rFonts w:ascii="Times" w:hAnsi="Times" w:cs="Times New Roman"/>
      <w:sz w:val="20"/>
      <w:szCs w:val="20"/>
    </w:rPr>
  </w:style>
  <w:style w:type="paragraph" w:styleId="Textodenotaderodap">
    <w:name w:val="footnote text"/>
    <w:basedOn w:val="Normal"/>
    <w:link w:val="TextodenotaderodapCarcter"/>
    <w:uiPriority w:val="99"/>
    <w:unhideWhenUsed/>
    <w:rsid w:val="00D17F78"/>
  </w:style>
  <w:style w:type="character" w:customStyle="1" w:styleId="TextodenotaderodapCarcter">
    <w:name w:val="Texto de nota de rodapé Carácter"/>
    <w:basedOn w:val="Tipodeletrapredefinidodopargrafo"/>
    <w:link w:val="Textodenotaderodap"/>
    <w:uiPriority w:val="99"/>
    <w:rsid w:val="00D17F78"/>
  </w:style>
  <w:style w:type="character" w:styleId="Refdenotaderodap">
    <w:name w:val="footnote reference"/>
    <w:basedOn w:val="Tipodeletrapredefinidodopargrafo"/>
    <w:uiPriority w:val="99"/>
    <w:unhideWhenUsed/>
    <w:rsid w:val="00D17F78"/>
    <w:rPr>
      <w:vertAlign w:val="superscript"/>
    </w:rPr>
  </w:style>
  <w:style w:type="paragraph" w:styleId="Textodebalo">
    <w:name w:val="Balloon Text"/>
    <w:basedOn w:val="Normal"/>
    <w:link w:val="TextodebaloCarcter"/>
    <w:uiPriority w:val="99"/>
    <w:semiHidden/>
    <w:unhideWhenUsed/>
    <w:rsid w:val="00FA484B"/>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FA484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7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D17F78"/>
    <w:rPr>
      <w:color w:val="0000FF"/>
      <w:u w:val="single"/>
    </w:rPr>
  </w:style>
  <w:style w:type="paragraph" w:styleId="NormalWeb">
    <w:name w:val="Normal (Web)"/>
    <w:basedOn w:val="Normal"/>
    <w:uiPriority w:val="99"/>
    <w:unhideWhenUsed/>
    <w:rsid w:val="00D17F78"/>
    <w:pPr>
      <w:spacing w:before="100" w:beforeAutospacing="1" w:after="119"/>
    </w:pPr>
    <w:rPr>
      <w:rFonts w:ascii="Times" w:hAnsi="Times" w:cs="Times New Roman"/>
      <w:sz w:val="20"/>
      <w:szCs w:val="20"/>
    </w:rPr>
  </w:style>
  <w:style w:type="paragraph" w:styleId="Textodenotaderodap">
    <w:name w:val="footnote text"/>
    <w:basedOn w:val="Normal"/>
    <w:link w:val="TextodenotaderodapCarcter"/>
    <w:uiPriority w:val="99"/>
    <w:unhideWhenUsed/>
    <w:rsid w:val="00D17F78"/>
  </w:style>
  <w:style w:type="character" w:customStyle="1" w:styleId="TextodenotaderodapCarcter">
    <w:name w:val="Texto de nota de rodapé Carácter"/>
    <w:basedOn w:val="Tipodeletrapredefinidodopargrafo"/>
    <w:link w:val="Textodenotaderodap"/>
    <w:uiPriority w:val="99"/>
    <w:rsid w:val="00D17F78"/>
  </w:style>
  <w:style w:type="character" w:styleId="Refdenotaderodap">
    <w:name w:val="footnote reference"/>
    <w:basedOn w:val="Tipodeletrapredefinidodopargrafo"/>
    <w:uiPriority w:val="99"/>
    <w:unhideWhenUsed/>
    <w:rsid w:val="00D17F78"/>
    <w:rPr>
      <w:vertAlign w:val="superscript"/>
    </w:rPr>
  </w:style>
  <w:style w:type="paragraph" w:styleId="Textodebalo">
    <w:name w:val="Balloon Text"/>
    <w:basedOn w:val="Normal"/>
    <w:link w:val="TextodebaloCarcter"/>
    <w:uiPriority w:val="99"/>
    <w:semiHidden/>
    <w:unhideWhenUsed/>
    <w:rsid w:val="00FA484B"/>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FA48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17073</Characters>
  <Application>Microsoft Office Word</Application>
  <DocSecurity>0</DocSecurity>
  <Lines>142</Lines>
  <Paragraphs>40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Maslovskaya</dc:creator>
  <cp:lastModifiedBy>Antonio Dores</cp:lastModifiedBy>
  <cp:revision>2</cp:revision>
  <dcterms:created xsi:type="dcterms:W3CDTF">2015-01-23T19:21:00Z</dcterms:created>
  <dcterms:modified xsi:type="dcterms:W3CDTF">2015-01-23T19:21:00Z</dcterms:modified>
</cp:coreProperties>
</file>